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FF" w:rsidRPr="00A138FF" w:rsidRDefault="00A138FF" w:rsidP="00A138FF">
      <w:pPr>
        <w:spacing w:after="6" w:line="259" w:lineRule="auto"/>
        <w:ind w:left="28" w:right="0" w:firstLine="0"/>
        <w:jc w:val="left"/>
        <w:rPr>
          <w:rFonts w:ascii="Cambria" w:hAnsi="Cambria"/>
          <w:b/>
          <w:bCs/>
          <w:sz w:val="24"/>
          <w:szCs w:val="24"/>
        </w:rPr>
      </w:pPr>
      <w:r w:rsidRPr="00A138FF">
        <w:rPr>
          <w:rFonts w:ascii="Cambria" w:hAnsi="Cambria"/>
          <w:b/>
          <w:bCs/>
          <w:sz w:val="24"/>
          <w:szCs w:val="24"/>
        </w:rPr>
        <w:t>Other tariff related issues:</w:t>
      </w:r>
    </w:p>
    <w:p w:rsidR="00A138FF" w:rsidRPr="00A138FF" w:rsidRDefault="00A138FF" w:rsidP="00A138FF">
      <w:pPr>
        <w:spacing w:after="68" w:line="266" w:lineRule="auto"/>
        <w:ind w:left="16" w:right="0"/>
        <w:jc w:val="left"/>
        <w:rPr>
          <w:rFonts w:ascii="Cambria" w:hAnsi="Cambria"/>
          <w:b/>
          <w:bCs/>
          <w:sz w:val="24"/>
          <w:szCs w:val="24"/>
        </w:rPr>
      </w:pPr>
      <w:r w:rsidRPr="00A138FF">
        <w:rPr>
          <w:rFonts w:ascii="Cambria" w:hAnsi="Cambria"/>
          <w:b/>
          <w:bCs/>
          <w:sz w:val="24"/>
          <w:szCs w:val="24"/>
        </w:rPr>
        <w:t>Fuel Cost Adjustment Charges</w:t>
      </w:r>
    </w:p>
    <w:p w:rsidR="00A138FF" w:rsidRPr="00A138FF" w:rsidRDefault="00A138FF" w:rsidP="00A138FF">
      <w:pPr>
        <w:spacing w:line="360" w:lineRule="auto"/>
        <w:ind w:left="16" w:right="0"/>
        <w:rPr>
          <w:rFonts w:ascii="Cambria" w:hAnsi="Cambria"/>
          <w:sz w:val="24"/>
          <w:szCs w:val="24"/>
        </w:rPr>
      </w:pPr>
      <w:r w:rsidRPr="00A138FF">
        <w:rPr>
          <w:rFonts w:ascii="Cambria" w:hAnsi="Cambria"/>
          <w:sz w:val="24"/>
          <w:szCs w:val="24"/>
        </w:rPr>
        <w:t xml:space="preserve">The Commission in its Tariff Order dated 30th April 2012 had decided to introduce fuel cost adjustment charges and the Commission has notified the Regulations on 22nd March 2013. The fuel cost adjustment charges </w:t>
      </w:r>
      <w:proofErr w:type="gramStart"/>
      <w:r w:rsidRPr="00A138FF">
        <w:rPr>
          <w:rFonts w:ascii="Cambria" w:hAnsi="Cambria"/>
          <w:sz w:val="24"/>
          <w:szCs w:val="24"/>
        </w:rPr>
        <w:t>has</w:t>
      </w:r>
      <w:proofErr w:type="gramEnd"/>
      <w:r w:rsidRPr="00A138FF">
        <w:rPr>
          <w:rFonts w:ascii="Cambria" w:hAnsi="Cambria"/>
          <w:sz w:val="24"/>
          <w:szCs w:val="24"/>
        </w:rPr>
        <w:t xml:space="preserve"> come into effect from the billing quarter beginning from 1st July 2013. Subsequently, the Commission has notified an amendment to this Regulation on 3rd December 2013. </w:t>
      </w:r>
      <w:r w:rsidR="00C7189A" w:rsidRPr="00A138FF">
        <w:rPr>
          <w:rFonts w:ascii="Cambria" w:hAnsi="Cambria"/>
          <w:sz w:val="24"/>
          <w:szCs w:val="24"/>
        </w:rPr>
        <w:t>Accordingly,</w:t>
      </w:r>
      <w:r w:rsidRPr="00A138FF">
        <w:rPr>
          <w:rFonts w:ascii="Cambria" w:hAnsi="Cambria"/>
          <w:sz w:val="24"/>
          <w:szCs w:val="24"/>
        </w:rPr>
        <w:t xml:space="preserve"> the Commission is reviewing FAC claims of ESCOMs on quarterly basis and separate Orders are being issued.</w:t>
      </w:r>
    </w:p>
    <w:p w:rsidR="00A138FF" w:rsidRPr="00A138FF" w:rsidRDefault="00A138FF" w:rsidP="00A138FF">
      <w:pPr>
        <w:spacing w:after="81" w:line="360" w:lineRule="auto"/>
        <w:ind w:left="16" w:right="0"/>
        <w:rPr>
          <w:rFonts w:ascii="Cambria" w:hAnsi="Cambria"/>
          <w:b/>
          <w:bCs/>
          <w:sz w:val="24"/>
          <w:szCs w:val="24"/>
        </w:rPr>
      </w:pPr>
      <w:r w:rsidRPr="00A138FF">
        <w:rPr>
          <w:rFonts w:ascii="Cambria" w:hAnsi="Cambria"/>
          <w:b/>
          <w:bCs/>
          <w:sz w:val="24"/>
          <w:szCs w:val="24"/>
        </w:rPr>
        <w:t>Tariff for Green Power</w:t>
      </w:r>
    </w:p>
    <w:p w:rsidR="00A138FF" w:rsidRPr="00A138FF" w:rsidRDefault="00A138FF" w:rsidP="00A138FF">
      <w:pPr>
        <w:spacing w:after="59" w:line="360" w:lineRule="auto"/>
        <w:ind w:left="16" w:right="0"/>
        <w:rPr>
          <w:rFonts w:ascii="Cambria" w:hAnsi="Cambria"/>
          <w:sz w:val="24"/>
          <w:szCs w:val="24"/>
        </w:rPr>
      </w:pPr>
      <w:r w:rsidRPr="00A138FF">
        <w:rPr>
          <w:rFonts w:ascii="Cambria" w:hAnsi="Cambria"/>
          <w:sz w:val="24"/>
          <w:szCs w:val="24"/>
        </w:rPr>
        <w:t xml:space="preserve">In order to encourage generation and use of green power in the State, the Commission decides to continue the existing Green Tariff of 50 paise per unit as the additional tariff over and above the normal tariff to be paid by HT-consumers, who opt for supply of green power from out of the renewable energy procured by distribution utilities over and above their Renewable Purchase Obligation (RPO). </w:t>
      </w:r>
    </w:p>
    <w:p w:rsidR="00A138FF" w:rsidRPr="00A138FF" w:rsidRDefault="00A138FF" w:rsidP="00A138FF">
      <w:pPr>
        <w:spacing w:after="59" w:line="360" w:lineRule="auto"/>
        <w:ind w:left="16" w:right="0"/>
        <w:rPr>
          <w:rFonts w:ascii="Cambria" w:hAnsi="Cambria"/>
          <w:b/>
          <w:bCs/>
          <w:sz w:val="24"/>
          <w:szCs w:val="24"/>
        </w:rPr>
      </w:pPr>
      <w:r w:rsidRPr="00A138FF">
        <w:rPr>
          <w:rFonts w:ascii="Cambria" w:hAnsi="Cambria"/>
          <w:b/>
          <w:bCs/>
          <w:sz w:val="24"/>
          <w:szCs w:val="24"/>
        </w:rPr>
        <w:t>Wheeling within HESCOM Area:</w:t>
      </w:r>
    </w:p>
    <w:p w:rsidR="00A138FF" w:rsidRPr="00A138FF" w:rsidRDefault="00A138FF" w:rsidP="00A138FF">
      <w:pPr>
        <w:spacing w:after="46" w:line="360" w:lineRule="auto"/>
        <w:ind w:left="16" w:right="0"/>
        <w:rPr>
          <w:rFonts w:ascii="Cambria" w:hAnsi="Cambria"/>
          <w:sz w:val="24"/>
          <w:szCs w:val="24"/>
        </w:rPr>
      </w:pPr>
      <w:r w:rsidRPr="00A138FF">
        <w:rPr>
          <w:rFonts w:ascii="Cambria" w:hAnsi="Cambria"/>
          <w:sz w:val="24"/>
          <w:szCs w:val="24"/>
        </w:rPr>
        <w:t>Based on the approved ARR for distribution business, the wheeling charges to each voltage level is worked out as under:</w:t>
      </w:r>
    </w:p>
    <w:p w:rsidR="00A138FF" w:rsidRPr="00A138FF" w:rsidRDefault="00A138FF" w:rsidP="00A138FF">
      <w:pPr>
        <w:pStyle w:val="Heading1"/>
        <w:spacing w:after="0" w:line="360" w:lineRule="auto"/>
        <w:ind w:left="0"/>
        <w:rPr>
          <w:rFonts w:ascii="Cambria" w:hAnsi="Cambria"/>
          <w:b/>
          <w:bCs/>
          <w:sz w:val="24"/>
          <w:szCs w:val="24"/>
        </w:rPr>
      </w:pPr>
      <w:r w:rsidRPr="00A138FF">
        <w:rPr>
          <w:rFonts w:ascii="Cambria" w:hAnsi="Cambria"/>
          <w:b/>
          <w:bCs/>
          <w:sz w:val="24"/>
          <w:szCs w:val="24"/>
        </w:rPr>
        <w:t>TABLE: Wheeling Charges</w:t>
      </w:r>
    </w:p>
    <w:tbl>
      <w:tblPr>
        <w:tblStyle w:val="TableGrid"/>
        <w:tblW w:w="5289" w:type="dxa"/>
        <w:jc w:val="center"/>
        <w:tblInd w:w="0" w:type="dxa"/>
        <w:tblCellMar>
          <w:top w:w="49" w:type="dxa"/>
          <w:left w:w="73" w:type="dxa"/>
          <w:right w:w="115" w:type="dxa"/>
        </w:tblCellMar>
        <w:tblLook w:val="04A0" w:firstRow="1" w:lastRow="0" w:firstColumn="1" w:lastColumn="0" w:noHBand="0" w:noVBand="1"/>
      </w:tblPr>
      <w:tblGrid>
        <w:gridCol w:w="3579"/>
        <w:gridCol w:w="1710"/>
      </w:tblGrid>
      <w:tr w:rsidR="00A138FF" w:rsidRPr="00A138FF" w:rsidTr="00A138FF">
        <w:trPr>
          <w:trHeight w:val="346"/>
          <w:jc w:val="center"/>
        </w:trPr>
        <w:tc>
          <w:tcPr>
            <w:tcW w:w="3579" w:type="dxa"/>
            <w:tcBorders>
              <w:top w:val="single" w:sz="2" w:space="0" w:color="000000"/>
              <w:left w:val="single" w:sz="2" w:space="0" w:color="000000"/>
              <w:bottom w:val="single" w:sz="2" w:space="0" w:color="000000"/>
              <w:right w:val="single" w:sz="2" w:space="0" w:color="000000"/>
            </w:tcBorders>
          </w:tcPr>
          <w:p w:rsidR="00A138FF" w:rsidRPr="00A138FF" w:rsidRDefault="00A138FF" w:rsidP="008B6CB5">
            <w:pPr>
              <w:spacing w:after="0" w:line="259" w:lineRule="auto"/>
              <w:ind w:left="7" w:right="0" w:firstLine="0"/>
              <w:jc w:val="left"/>
              <w:rPr>
                <w:rFonts w:ascii="Cambria" w:hAnsi="Cambria"/>
                <w:sz w:val="24"/>
                <w:szCs w:val="24"/>
              </w:rPr>
            </w:pPr>
            <w:r w:rsidRPr="00A138FF">
              <w:rPr>
                <w:rFonts w:ascii="Cambria" w:hAnsi="Cambria"/>
                <w:sz w:val="24"/>
                <w:szCs w:val="24"/>
              </w:rPr>
              <w:t>Distribution ARR-Rs. Crores</w:t>
            </w:r>
          </w:p>
        </w:tc>
        <w:tc>
          <w:tcPr>
            <w:tcW w:w="1710" w:type="dxa"/>
            <w:tcBorders>
              <w:top w:val="single" w:sz="2" w:space="0" w:color="000000"/>
              <w:left w:val="single" w:sz="2" w:space="0" w:color="000000"/>
              <w:bottom w:val="single" w:sz="2" w:space="0" w:color="000000"/>
              <w:right w:val="single" w:sz="2" w:space="0" w:color="000000"/>
            </w:tcBorders>
          </w:tcPr>
          <w:p w:rsidR="00A138FF" w:rsidRPr="00A138FF" w:rsidRDefault="00A138FF" w:rsidP="008B6CB5">
            <w:pPr>
              <w:spacing w:after="0" w:line="259" w:lineRule="auto"/>
              <w:ind w:left="459" w:right="0" w:firstLine="0"/>
              <w:jc w:val="left"/>
              <w:rPr>
                <w:rFonts w:ascii="Cambria" w:hAnsi="Cambria"/>
                <w:sz w:val="24"/>
                <w:szCs w:val="24"/>
              </w:rPr>
            </w:pPr>
            <w:r w:rsidRPr="00A138FF">
              <w:rPr>
                <w:rFonts w:ascii="Cambria" w:hAnsi="Cambria"/>
                <w:sz w:val="24"/>
                <w:szCs w:val="24"/>
              </w:rPr>
              <w:t>1319,96</w:t>
            </w:r>
          </w:p>
        </w:tc>
      </w:tr>
      <w:tr w:rsidR="00A138FF" w:rsidRPr="00A138FF" w:rsidTr="00A138FF">
        <w:trPr>
          <w:trHeight w:val="336"/>
          <w:jc w:val="center"/>
        </w:trPr>
        <w:tc>
          <w:tcPr>
            <w:tcW w:w="3579" w:type="dxa"/>
            <w:tcBorders>
              <w:top w:val="single" w:sz="2" w:space="0" w:color="000000"/>
              <w:left w:val="single" w:sz="2" w:space="0" w:color="000000"/>
              <w:bottom w:val="single" w:sz="2" w:space="0" w:color="000000"/>
              <w:right w:val="single" w:sz="2" w:space="0" w:color="000000"/>
            </w:tcBorders>
          </w:tcPr>
          <w:p w:rsidR="00A138FF" w:rsidRPr="00A138FF" w:rsidRDefault="00A138FF" w:rsidP="008B6CB5">
            <w:pPr>
              <w:spacing w:after="0" w:line="259" w:lineRule="auto"/>
              <w:ind w:left="0" w:right="0" w:firstLine="0"/>
              <w:jc w:val="left"/>
              <w:rPr>
                <w:rFonts w:ascii="Cambria" w:hAnsi="Cambria"/>
                <w:sz w:val="24"/>
                <w:szCs w:val="24"/>
              </w:rPr>
            </w:pPr>
            <w:r w:rsidRPr="00A138FF">
              <w:rPr>
                <w:rFonts w:ascii="Cambria" w:hAnsi="Cambria"/>
                <w:sz w:val="24"/>
                <w:szCs w:val="24"/>
              </w:rPr>
              <w:t>Sales-MU</w:t>
            </w:r>
          </w:p>
        </w:tc>
        <w:tc>
          <w:tcPr>
            <w:tcW w:w="1710" w:type="dxa"/>
            <w:tcBorders>
              <w:top w:val="single" w:sz="2" w:space="0" w:color="000000"/>
              <w:left w:val="single" w:sz="2" w:space="0" w:color="000000"/>
              <w:bottom w:val="single" w:sz="2" w:space="0" w:color="000000"/>
              <w:right w:val="single" w:sz="2" w:space="0" w:color="000000"/>
            </w:tcBorders>
          </w:tcPr>
          <w:p w:rsidR="00A138FF" w:rsidRPr="00A138FF" w:rsidRDefault="00A138FF" w:rsidP="008B6CB5">
            <w:pPr>
              <w:spacing w:after="0" w:line="259" w:lineRule="auto"/>
              <w:ind w:left="220" w:right="0" w:firstLine="0"/>
              <w:jc w:val="center"/>
              <w:rPr>
                <w:rFonts w:ascii="Cambria" w:hAnsi="Cambria"/>
                <w:sz w:val="24"/>
                <w:szCs w:val="24"/>
              </w:rPr>
            </w:pPr>
            <w:r w:rsidRPr="00A138FF">
              <w:rPr>
                <w:rFonts w:ascii="Cambria" w:hAnsi="Cambria"/>
                <w:sz w:val="24"/>
                <w:szCs w:val="24"/>
              </w:rPr>
              <w:t>12348.77</w:t>
            </w:r>
          </w:p>
        </w:tc>
      </w:tr>
      <w:tr w:rsidR="00A138FF" w:rsidRPr="00A138FF" w:rsidTr="00A138FF">
        <w:trPr>
          <w:trHeight w:val="336"/>
          <w:jc w:val="center"/>
        </w:trPr>
        <w:tc>
          <w:tcPr>
            <w:tcW w:w="3579" w:type="dxa"/>
            <w:tcBorders>
              <w:top w:val="single" w:sz="2" w:space="0" w:color="000000"/>
              <w:left w:val="single" w:sz="2" w:space="0" w:color="000000"/>
              <w:bottom w:val="single" w:sz="2" w:space="0" w:color="000000"/>
              <w:right w:val="single" w:sz="2" w:space="0" w:color="000000"/>
            </w:tcBorders>
          </w:tcPr>
          <w:p w:rsidR="00A138FF" w:rsidRPr="00A138FF" w:rsidRDefault="00A138FF" w:rsidP="00A138FF">
            <w:pPr>
              <w:spacing w:after="0" w:line="259" w:lineRule="auto"/>
              <w:ind w:left="0" w:right="0" w:firstLine="0"/>
              <w:jc w:val="left"/>
              <w:rPr>
                <w:rFonts w:ascii="Cambria" w:hAnsi="Cambria"/>
                <w:sz w:val="24"/>
                <w:szCs w:val="24"/>
              </w:rPr>
            </w:pPr>
            <w:r w:rsidRPr="00A138FF">
              <w:rPr>
                <w:rFonts w:ascii="Cambria" w:hAnsi="Cambria"/>
                <w:sz w:val="24"/>
                <w:szCs w:val="24"/>
              </w:rPr>
              <w:t>Wheeling charges- paise</w:t>
            </w:r>
            <w:r>
              <w:rPr>
                <w:rFonts w:ascii="Cambria" w:hAnsi="Cambria"/>
                <w:sz w:val="24"/>
                <w:szCs w:val="24"/>
              </w:rPr>
              <w:t xml:space="preserve"> </w:t>
            </w:r>
            <w:r w:rsidRPr="00A138FF">
              <w:rPr>
                <w:rFonts w:ascii="Cambria" w:hAnsi="Cambria"/>
                <w:sz w:val="24"/>
                <w:szCs w:val="24"/>
              </w:rPr>
              <w:t>unit</w:t>
            </w:r>
          </w:p>
        </w:tc>
        <w:tc>
          <w:tcPr>
            <w:tcW w:w="1710" w:type="dxa"/>
            <w:tcBorders>
              <w:top w:val="single" w:sz="2" w:space="0" w:color="000000"/>
              <w:left w:val="single" w:sz="2" w:space="0" w:color="000000"/>
              <w:bottom w:val="single" w:sz="2" w:space="0" w:color="000000"/>
              <w:right w:val="single" w:sz="2" w:space="0" w:color="000000"/>
            </w:tcBorders>
          </w:tcPr>
          <w:p w:rsidR="00A138FF" w:rsidRPr="00A138FF" w:rsidRDefault="00A138FF" w:rsidP="00A138FF">
            <w:pPr>
              <w:spacing w:after="0" w:line="259" w:lineRule="auto"/>
              <w:ind w:right="0"/>
              <w:jc w:val="center"/>
              <w:rPr>
                <w:rFonts w:ascii="Cambria" w:hAnsi="Cambria"/>
                <w:sz w:val="24"/>
                <w:szCs w:val="24"/>
              </w:rPr>
            </w:pPr>
            <w:r w:rsidRPr="00A138FF">
              <w:rPr>
                <w:rFonts w:ascii="Cambria" w:hAnsi="Cambria"/>
                <w:sz w:val="24"/>
                <w:szCs w:val="24"/>
              </w:rPr>
              <w:t>106.89</w:t>
            </w:r>
          </w:p>
        </w:tc>
      </w:tr>
      <w:tr w:rsidR="00A138FF" w:rsidRPr="00A138FF" w:rsidTr="00A138FF">
        <w:trPr>
          <w:trHeight w:val="339"/>
          <w:jc w:val="center"/>
        </w:trPr>
        <w:tc>
          <w:tcPr>
            <w:tcW w:w="3579" w:type="dxa"/>
            <w:tcBorders>
              <w:top w:val="single" w:sz="2" w:space="0" w:color="000000"/>
              <w:left w:val="single" w:sz="2" w:space="0" w:color="000000"/>
              <w:bottom w:val="single" w:sz="2" w:space="0" w:color="000000"/>
              <w:right w:val="single" w:sz="2" w:space="0" w:color="000000"/>
            </w:tcBorders>
          </w:tcPr>
          <w:p w:rsidR="00A138FF" w:rsidRPr="00A138FF" w:rsidRDefault="00A138FF" w:rsidP="008B6CB5">
            <w:pPr>
              <w:spacing w:after="160" w:line="259" w:lineRule="auto"/>
              <w:ind w:left="0" w:right="0" w:firstLine="0"/>
              <w:jc w:val="left"/>
              <w:rPr>
                <w:rFonts w:ascii="Cambria" w:hAnsi="Cambria"/>
                <w:sz w:val="24"/>
                <w:szCs w:val="24"/>
              </w:rPr>
            </w:pPr>
          </w:p>
        </w:tc>
        <w:tc>
          <w:tcPr>
            <w:tcW w:w="1710" w:type="dxa"/>
            <w:tcBorders>
              <w:top w:val="single" w:sz="2" w:space="0" w:color="000000"/>
              <w:left w:val="single" w:sz="2" w:space="0" w:color="000000"/>
              <w:bottom w:val="single" w:sz="2" w:space="0" w:color="000000"/>
              <w:right w:val="single" w:sz="2" w:space="0" w:color="000000"/>
            </w:tcBorders>
          </w:tcPr>
          <w:p w:rsidR="00A138FF" w:rsidRPr="00A138FF" w:rsidRDefault="00A138FF" w:rsidP="008B6CB5">
            <w:pPr>
              <w:spacing w:after="0" w:line="259" w:lineRule="auto"/>
              <w:ind w:left="298" w:right="0" w:firstLine="0"/>
              <w:jc w:val="left"/>
              <w:rPr>
                <w:rFonts w:ascii="Cambria" w:hAnsi="Cambria"/>
                <w:b/>
                <w:bCs/>
                <w:sz w:val="24"/>
                <w:szCs w:val="24"/>
              </w:rPr>
            </w:pPr>
            <w:r w:rsidRPr="00A138FF">
              <w:rPr>
                <w:rFonts w:ascii="Cambria" w:hAnsi="Cambria"/>
                <w:b/>
                <w:bCs/>
                <w:sz w:val="24"/>
                <w:szCs w:val="24"/>
              </w:rPr>
              <w:t>Paise/unit</w:t>
            </w:r>
          </w:p>
        </w:tc>
      </w:tr>
      <w:tr w:rsidR="00A138FF" w:rsidRPr="00A138FF" w:rsidTr="00A138FF">
        <w:trPr>
          <w:trHeight w:val="336"/>
          <w:jc w:val="center"/>
        </w:trPr>
        <w:tc>
          <w:tcPr>
            <w:tcW w:w="3579" w:type="dxa"/>
            <w:tcBorders>
              <w:top w:val="single" w:sz="2" w:space="0" w:color="000000"/>
              <w:left w:val="single" w:sz="2" w:space="0" w:color="000000"/>
              <w:bottom w:val="single" w:sz="2" w:space="0" w:color="000000"/>
              <w:right w:val="single" w:sz="2" w:space="0" w:color="000000"/>
            </w:tcBorders>
          </w:tcPr>
          <w:p w:rsidR="00A138FF" w:rsidRPr="00A138FF" w:rsidRDefault="00A138FF" w:rsidP="008B6CB5">
            <w:pPr>
              <w:spacing w:after="0" w:line="259" w:lineRule="auto"/>
              <w:ind w:left="7" w:right="0" w:firstLine="0"/>
              <w:jc w:val="left"/>
              <w:rPr>
                <w:rFonts w:ascii="Cambria" w:hAnsi="Cambria"/>
                <w:sz w:val="24"/>
                <w:szCs w:val="24"/>
              </w:rPr>
            </w:pPr>
            <w:r w:rsidRPr="00A138FF">
              <w:rPr>
                <w:rFonts w:ascii="Cambria" w:hAnsi="Cambria"/>
                <w:sz w:val="24"/>
                <w:szCs w:val="24"/>
              </w:rPr>
              <w:t>HT-network</w:t>
            </w:r>
          </w:p>
        </w:tc>
        <w:tc>
          <w:tcPr>
            <w:tcW w:w="1710" w:type="dxa"/>
            <w:tcBorders>
              <w:top w:val="single" w:sz="2" w:space="0" w:color="000000"/>
              <w:left w:val="single" w:sz="2" w:space="0" w:color="000000"/>
              <w:bottom w:val="single" w:sz="2" w:space="0" w:color="000000"/>
              <w:right w:val="single" w:sz="2" w:space="0" w:color="000000"/>
            </w:tcBorders>
          </w:tcPr>
          <w:p w:rsidR="00A138FF" w:rsidRPr="00A138FF" w:rsidRDefault="00A138FF" w:rsidP="008B6CB5">
            <w:pPr>
              <w:spacing w:after="0" w:line="259" w:lineRule="auto"/>
              <w:ind w:left="620" w:right="0" w:firstLine="0"/>
              <w:jc w:val="left"/>
              <w:rPr>
                <w:rFonts w:ascii="Cambria" w:hAnsi="Cambria"/>
                <w:sz w:val="24"/>
                <w:szCs w:val="24"/>
              </w:rPr>
            </w:pPr>
            <w:r w:rsidRPr="00A138FF">
              <w:rPr>
                <w:rFonts w:ascii="Cambria" w:hAnsi="Cambria"/>
                <w:sz w:val="24"/>
                <w:szCs w:val="24"/>
              </w:rPr>
              <w:t>32.07</w:t>
            </w:r>
          </w:p>
        </w:tc>
      </w:tr>
      <w:tr w:rsidR="00A138FF" w:rsidRPr="00A138FF" w:rsidTr="00A138FF">
        <w:trPr>
          <w:trHeight w:val="336"/>
          <w:jc w:val="center"/>
        </w:trPr>
        <w:tc>
          <w:tcPr>
            <w:tcW w:w="3579" w:type="dxa"/>
            <w:tcBorders>
              <w:top w:val="single" w:sz="2" w:space="0" w:color="000000"/>
              <w:left w:val="single" w:sz="2" w:space="0" w:color="000000"/>
              <w:bottom w:val="single" w:sz="2" w:space="0" w:color="000000"/>
              <w:right w:val="single" w:sz="2" w:space="0" w:color="000000"/>
            </w:tcBorders>
          </w:tcPr>
          <w:p w:rsidR="00A138FF" w:rsidRPr="00A138FF" w:rsidRDefault="00A138FF" w:rsidP="008B6CB5">
            <w:pPr>
              <w:spacing w:after="0" w:line="259" w:lineRule="auto"/>
              <w:ind w:left="7" w:right="0" w:firstLine="0"/>
              <w:jc w:val="left"/>
              <w:rPr>
                <w:rFonts w:ascii="Cambria" w:hAnsi="Cambria"/>
                <w:sz w:val="24"/>
                <w:szCs w:val="24"/>
              </w:rPr>
            </w:pPr>
            <w:r w:rsidRPr="00A138FF">
              <w:rPr>
                <w:rFonts w:ascii="Cambria" w:hAnsi="Cambria"/>
                <w:sz w:val="24"/>
                <w:szCs w:val="24"/>
              </w:rPr>
              <w:t>IT-network</w:t>
            </w:r>
          </w:p>
        </w:tc>
        <w:tc>
          <w:tcPr>
            <w:tcW w:w="1710" w:type="dxa"/>
            <w:tcBorders>
              <w:top w:val="single" w:sz="2" w:space="0" w:color="000000"/>
              <w:left w:val="single" w:sz="2" w:space="0" w:color="000000"/>
              <w:bottom w:val="single" w:sz="2" w:space="0" w:color="000000"/>
              <w:right w:val="single" w:sz="2" w:space="0" w:color="000000"/>
            </w:tcBorders>
          </w:tcPr>
          <w:p w:rsidR="00A138FF" w:rsidRPr="00A138FF" w:rsidRDefault="00A138FF" w:rsidP="008B6CB5">
            <w:pPr>
              <w:spacing w:after="0" w:line="259" w:lineRule="auto"/>
              <w:ind w:left="620" w:right="0" w:firstLine="0"/>
              <w:jc w:val="left"/>
              <w:rPr>
                <w:rFonts w:ascii="Cambria" w:hAnsi="Cambria"/>
                <w:sz w:val="24"/>
                <w:szCs w:val="24"/>
              </w:rPr>
            </w:pPr>
            <w:r w:rsidRPr="00A138FF">
              <w:rPr>
                <w:rFonts w:ascii="Cambria" w:hAnsi="Cambria"/>
                <w:sz w:val="24"/>
                <w:szCs w:val="24"/>
              </w:rPr>
              <w:t>74.82</w:t>
            </w:r>
          </w:p>
        </w:tc>
      </w:tr>
    </w:tbl>
    <w:p w:rsidR="00A138FF" w:rsidRPr="00A138FF" w:rsidRDefault="00A138FF" w:rsidP="00A138FF">
      <w:pPr>
        <w:ind w:left="16" w:right="0"/>
        <w:rPr>
          <w:rFonts w:ascii="Cambria" w:hAnsi="Cambria"/>
          <w:sz w:val="24"/>
          <w:szCs w:val="24"/>
        </w:rPr>
      </w:pPr>
      <w:r w:rsidRPr="00A138FF">
        <w:rPr>
          <w:rFonts w:ascii="Cambria" w:hAnsi="Cambria"/>
          <w:sz w:val="24"/>
          <w:szCs w:val="24"/>
        </w:rPr>
        <w:t>In addition to the above, the following technical losses are applicable to all open access/wheeling transactions:</w:t>
      </w:r>
    </w:p>
    <w:tbl>
      <w:tblPr>
        <w:tblStyle w:val="TableGrid"/>
        <w:tblW w:w="4010" w:type="dxa"/>
        <w:jc w:val="center"/>
        <w:tblInd w:w="0" w:type="dxa"/>
        <w:tblCellMar>
          <w:top w:w="28" w:type="dxa"/>
          <w:left w:w="150" w:type="dxa"/>
          <w:right w:w="115" w:type="dxa"/>
        </w:tblCellMar>
        <w:tblLook w:val="04A0" w:firstRow="1" w:lastRow="0" w:firstColumn="1" w:lastColumn="0" w:noHBand="0" w:noVBand="1"/>
      </w:tblPr>
      <w:tblGrid>
        <w:gridCol w:w="2929"/>
        <w:gridCol w:w="1081"/>
      </w:tblGrid>
      <w:tr w:rsidR="00A138FF" w:rsidRPr="00A138FF" w:rsidTr="00A138FF">
        <w:trPr>
          <w:trHeight w:val="336"/>
          <w:jc w:val="center"/>
        </w:trPr>
        <w:tc>
          <w:tcPr>
            <w:tcW w:w="2929" w:type="dxa"/>
            <w:tcBorders>
              <w:top w:val="single" w:sz="2" w:space="0" w:color="000000"/>
              <w:left w:val="single" w:sz="2" w:space="0" w:color="000000"/>
              <w:bottom w:val="single" w:sz="2" w:space="0" w:color="000000"/>
              <w:right w:val="single" w:sz="2" w:space="0" w:color="000000"/>
            </w:tcBorders>
          </w:tcPr>
          <w:p w:rsidR="00A138FF" w:rsidRPr="00A138FF" w:rsidRDefault="00A138FF" w:rsidP="008B6CB5">
            <w:pPr>
              <w:spacing w:after="0" w:line="259" w:lineRule="auto"/>
              <w:ind w:left="0" w:right="39" w:firstLine="0"/>
              <w:jc w:val="center"/>
              <w:rPr>
                <w:rFonts w:ascii="Cambria" w:hAnsi="Cambria"/>
                <w:b/>
                <w:bCs/>
                <w:sz w:val="24"/>
                <w:szCs w:val="24"/>
              </w:rPr>
            </w:pPr>
            <w:r w:rsidRPr="00A138FF">
              <w:rPr>
                <w:rFonts w:ascii="Cambria" w:hAnsi="Cambria"/>
                <w:b/>
                <w:bCs/>
                <w:sz w:val="24"/>
                <w:szCs w:val="24"/>
              </w:rPr>
              <w:t>Loss allocation</w:t>
            </w:r>
          </w:p>
        </w:tc>
        <w:tc>
          <w:tcPr>
            <w:tcW w:w="1081" w:type="dxa"/>
            <w:tcBorders>
              <w:top w:val="single" w:sz="2" w:space="0" w:color="000000"/>
              <w:left w:val="single" w:sz="2" w:space="0" w:color="000000"/>
              <w:bottom w:val="single" w:sz="2" w:space="0" w:color="000000"/>
              <w:right w:val="single" w:sz="2" w:space="0" w:color="000000"/>
            </w:tcBorders>
          </w:tcPr>
          <w:p w:rsidR="00A138FF" w:rsidRPr="00A138FF" w:rsidRDefault="00A138FF" w:rsidP="008B6CB5">
            <w:pPr>
              <w:spacing w:after="0" w:line="259" w:lineRule="auto"/>
              <w:ind w:left="0" w:right="0" w:firstLine="0"/>
              <w:jc w:val="left"/>
              <w:rPr>
                <w:rFonts w:ascii="Cambria" w:hAnsi="Cambria"/>
                <w:b/>
                <w:bCs/>
                <w:sz w:val="24"/>
                <w:szCs w:val="24"/>
              </w:rPr>
            </w:pPr>
            <w:r w:rsidRPr="00A138FF">
              <w:rPr>
                <w:rFonts w:ascii="Cambria" w:hAnsi="Cambria"/>
                <w:b/>
                <w:bCs/>
                <w:sz w:val="24"/>
                <w:szCs w:val="24"/>
              </w:rPr>
              <w:t>% loss</w:t>
            </w:r>
          </w:p>
        </w:tc>
      </w:tr>
      <w:tr w:rsidR="00A138FF" w:rsidRPr="00A138FF" w:rsidTr="00A138FF">
        <w:trPr>
          <w:trHeight w:val="312"/>
          <w:jc w:val="center"/>
        </w:trPr>
        <w:tc>
          <w:tcPr>
            <w:tcW w:w="2929" w:type="dxa"/>
            <w:tcBorders>
              <w:top w:val="single" w:sz="2" w:space="0" w:color="000000"/>
              <w:left w:val="single" w:sz="2" w:space="0" w:color="000000"/>
              <w:bottom w:val="single" w:sz="2" w:space="0" w:color="000000"/>
              <w:right w:val="single" w:sz="2" w:space="0" w:color="000000"/>
            </w:tcBorders>
          </w:tcPr>
          <w:p w:rsidR="00A138FF" w:rsidRPr="00A138FF" w:rsidRDefault="00A138FF" w:rsidP="00A138FF">
            <w:pPr>
              <w:spacing w:after="0" w:line="259" w:lineRule="auto"/>
              <w:ind w:left="66" w:right="0" w:firstLine="0"/>
              <w:jc w:val="center"/>
              <w:rPr>
                <w:rFonts w:ascii="Cambria" w:hAnsi="Cambria"/>
                <w:sz w:val="24"/>
                <w:szCs w:val="24"/>
              </w:rPr>
            </w:pPr>
            <w:r w:rsidRPr="00A138FF">
              <w:rPr>
                <w:rFonts w:ascii="Cambria" w:hAnsi="Cambria"/>
                <w:sz w:val="24"/>
                <w:szCs w:val="24"/>
              </w:rPr>
              <w:t>HT</w:t>
            </w:r>
          </w:p>
        </w:tc>
        <w:tc>
          <w:tcPr>
            <w:tcW w:w="1081" w:type="dxa"/>
            <w:tcBorders>
              <w:top w:val="single" w:sz="2" w:space="0" w:color="000000"/>
              <w:left w:val="single" w:sz="2" w:space="0" w:color="000000"/>
              <w:bottom w:val="single" w:sz="2" w:space="0" w:color="000000"/>
              <w:right w:val="single" w:sz="2" w:space="0" w:color="000000"/>
            </w:tcBorders>
          </w:tcPr>
          <w:p w:rsidR="00A138FF" w:rsidRPr="00A138FF" w:rsidRDefault="00A138FF" w:rsidP="008B6CB5">
            <w:pPr>
              <w:spacing w:after="0" w:line="259" w:lineRule="auto"/>
              <w:ind w:left="196" w:right="0" w:firstLine="0"/>
              <w:jc w:val="left"/>
              <w:rPr>
                <w:rFonts w:ascii="Cambria" w:hAnsi="Cambria"/>
                <w:sz w:val="24"/>
                <w:szCs w:val="24"/>
              </w:rPr>
            </w:pPr>
            <w:r w:rsidRPr="00A138FF">
              <w:rPr>
                <w:rFonts w:ascii="Cambria" w:hAnsi="Cambria"/>
                <w:sz w:val="24"/>
                <w:szCs w:val="24"/>
              </w:rPr>
              <w:t>4.93</w:t>
            </w:r>
          </w:p>
        </w:tc>
      </w:tr>
      <w:tr w:rsidR="00A138FF" w:rsidRPr="00A138FF" w:rsidTr="00A138FF">
        <w:trPr>
          <w:trHeight w:val="371"/>
          <w:jc w:val="center"/>
        </w:trPr>
        <w:tc>
          <w:tcPr>
            <w:tcW w:w="2929" w:type="dxa"/>
            <w:tcBorders>
              <w:top w:val="single" w:sz="2" w:space="0" w:color="000000"/>
              <w:left w:val="single" w:sz="2" w:space="0" w:color="000000"/>
              <w:bottom w:val="single" w:sz="2" w:space="0" w:color="000000"/>
              <w:right w:val="single" w:sz="2" w:space="0" w:color="000000"/>
            </w:tcBorders>
          </w:tcPr>
          <w:p w:rsidR="00A138FF" w:rsidRPr="00A138FF" w:rsidRDefault="00A138FF" w:rsidP="00A138FF">
            <w:pPr>
              <w:spacing w:after="160" w:line="259" w:lineRule="auto"/>
              <w:ind w:left="0" w:right="0" w:firstLine="0"/>
              <w:jc w:val="center"/>
              <w:rPr>
                <w:rFonts w:ascii="Cambria" w:hAnsi="Cambria"/>
                <w:sz w:val="24"/>
                <w:szCs w:val="24"/>
              </w:rPr>
            </w:pPr>
            <w:r w:rsidRPr="00A138FF">
              <w:rPr>
                <w:rFonts w:ascii="Cambria" w:hAnsi="Cambria"/>
                <w:sz w:val="24"/>
                <w:szCs w:val="24"/>
              </w:rPr>
              <w:t>LT</w:t>
            </w:r>
          </w:p>
        </w:tc>
        <w:tc>
          <w:tcPr>
            <w:tcW w:w="1081" w:type="dxa"/>
            <w:tcBorders>
              <w:top w:val="single" w:sz="2" w:space="0" w:color="000000"/>
              <w:left w:val="single" w:sz="2" w:space="0" w:color="000000"/>
              <w:bottom w:val="single" w:sz="2" w:space="0" w:color="000000"/>
              <w:right w:val="single" w:sz="2" w:space="0" w:color="000000"/>
            </w:tcBorders>
          </w:tcPr>
          <w:p w:rsidR="00A138FF" w:rsidRPr="00A138FF" w:rsidRDefault="00A138FF" w:rsidP="008B6CB5">
            <w:pPr>
              <w:spacing w:after="0" w:line="259" w:lineRule="auto"/>
              <w:ind w:left="196" w:right="0" w:firstLine="0"/>
              <w:jc w:val="left"/>
              <w:rPr>
                <w:rFonts w:ascii="Cambria" w:hAnsi="Cambria"/>
                <w:sz w:val="24"/>
                <w:szCs w:val="24"/>
              </w:rPr>
            </w:pPr>
            <w:r w:rsidRPr="00A138FF">
              <w:rPr>
                <w:rFonts w:ascii="Cambria" w:hAnsi="Cambria"/>
                <w:sz w:val="24"/>
                <w:szCs w:val="24"/>
              </w:rPr>
              <w:t>8.65</w:t>
            </w:r>
          </w:p>
        </w:tc>
      </w:tr>
    </w:tbl>
    <w:p w:rsidR="00A138FF" w:rsidRDefault="00A138FF" w:rsidP="00A138FF">
      <w:pPr>
        <w:ind w:left="16" w:right="0"/>
        <w:rPr>
          <w:rFonts w:ascii="Cambria" w:hAnsi="Cambria"/>
          <w:b/>
          <w:bCs/>
          <w:sz w:val="24"/>
          <w:szCs w:val="24"/>
        </w:rPr>
      </w:pPr>
      <w:r w:rsidRPr="00A138FF">
        <w:rPr>
          <w:rFonts w:ascii="Cambria" w:hAnsi="Cambria"/>
          <w:b/>
          <w:bCs/>
          <w:sz w:val="24"/>
          <w:szCs w:val="24"/>
        </w:rPr>
        <w:t>Note: Total loss is allocated to HT, LT &amp; Commercial loss based on energy flow diagram furnished by HESCOM.</w:t>
      </w:r>
    </w:p>
    <w:p w:rsidR="00A138FF" w:rsidRDefault="00A138FF" w:rsidP="00A138FF">
      <w:pPr>
        <w:ind w:left="16" w:right="0"/>
        <w:rPr>
          <w:rFonts w:ascii="Cambria" w:hAnsi="Cambria"/>
          <w:b/>
          <w:bCs/>
          <w:sz w:val="24"/>
          <w:szCs w:val="24"/>
        </w:rPr>
      </w:pPr>
    </w:p>
    <w:p w:rsidR="00A138FF" w:rsidRPr="00A138FF" w:rsidRDefault="00A138FF" w:rsidP="00A138FF">
      <w:pPr>
        <w:ind w:left="16" w:right="0"/>
        <w:rPr>
          <w:rFonts w:ascii="Cambria" w:hAnsi="Cambria"/>
          <w:b/>
          <w:bCs/>
          <w:sz w:val="24"/>
          <w:szCs w:val="24"/>
        </w:rPr>
      </w:pPr>
    </w:p>
    <w:p w:rsidR="00A138FF" w:rsidRPr="00A138FF" w:rsidRDefault="00A138FF" w:rsidP="00A138FF">
      <w:pPr>
        <w:spacing w:line="360" w:lineRule="auto"/>
        <w:ind w:left="16" w:right="0"/>
        <w:rPr>
          <w:rFonts w:ascii="Cambria" w:hAnsi="Cambria"/>
          <w:sz w:val="24"/>
          <w:szCs w:val="24"/>
        </w:rPr>
      </w:pPr>
      <w:r w:rsidRPr="00A138FF">
        <w:rPr>
          <w:rFonts w:ascii="Cambria" w:hAnsi="Cambria"/>
          <w:sz w:val="24"/>
          <w:szCs w:val="24"/>
        </w:rPr>
        <w:lastRenderedPageBreak/>
        <w:t xml:space="preserve">The actual wheeling charges payable (after rounding off) will depend upon the point of injection and point of </w:t>
      </w:r>
      <w:proofErr w:type="spellStart"/>
      <w:r w:rsidRPr="00A138FF">
        <w:rPr>
          <w:rFonts w:ascii="Cambria" w:hAnsi="Cambria"/>
          <w:sz w:val="24"/>
          <w:szCs w:val="24"/>
        </w:rPr>
        <w:t>drawal</w:t>
      </w:r>
      <w:proofErr w:type="spellEnd"/>
      <w:r w:rsidRPr="00A138FF">
        <w:rPr>
          <w:rFonts w:ascii="Cambria" w:hAnsi="Cambria"/>
          <w:sz w:val="24"/>
          <w:szCs w:val="24"/>
        </w:rPr>
        <w:t xml:space="preserve"> as under:</w:t>
      </w:r>
    </w:p>
    <w:p w:rsidR="00A138FF" w:rsidRPr="00A138FF" w:rsidRDefault="00A138FF" w:rsidP="00A138FF">
      <w:pPr>
        <w:spacing w:after="0" w:line="259" w:lineRule="auto"/>
        <w:ind w:left="0" w:right="0" w:firstLine="0"/>
        <w:jc w:val="center"/>
        <w:rPr>
          <w:rFonts w:ascii="Cambria" w:hAnsi="Cambria"/>
          <w:b/>
          <w:bCs/>
          <w:sz w:val="24"/>
          <w:szCs w:val="24"/>
        </w:rPr>
      </w:pPr>
      <w:r>
        <w:rPr>
          <w:rFonts w:ascii="Cambria" w:hAnsi="Cambria"/>
          <w:b/>
          <w:bCs/>
          <w:sz w:val="24"/>
          <w:szCs w:val="24"/>
        </w:rPr>
        <w:t xml:space="preserve">                                                                                         </w:t>
      </w:r>
      <w:r w:rsidRPr="00A138FF">
        <w:rPr>
          <w:rFonts w:ascii="Cambria" w:hAnsi="Cambria"/>
          <w:b/>
          <w:bCs/>
          <w:sz w:val="24"/>
          <w:szCs w:val="24"/>
        </w:rPr>
        <w:t>Paise/unit</w:t>
      </w:r>
    </w:p>
    <w:tbl>
      <w:tblPr>
        <w:tblStyle w:val="TableGrid"/>
        <w:tblW w:w="6531" w:type="dxa"/>
        <w:jc w:val="center"/>
        <w:tblInd w:w="0" w:type="dxa"/>
        <w:tblCellMar>
          <w:top w:w="35" w:type="dxa"/>
          <w:right w:w="115" w:type="dxa"/>
        </w:tblCellMar>
        <w:tblLook w:val="04A0" w:firstRow="1" w:lastRow="0" w:firstColumn="1" w:lastColumn="0" w:noHBand="0" w:noVBand="1"/>
      </w:tblPr>
      <w:tblGrid>
        <w:gridCol w:w="2774"/>
        <w:gridCol w:w="442"/>
        <w:gridCol w:w="1788"/>
        <w:gridCol w:w="1527"/>
      </w:tblGrid>
      <w:tr w:rsidR="00A138FF" w:rsidRPr="00A138FF" w:rsidTr="00A138FF">
        <w:trPr>
          <w:trHeight w:val="336"/>
          <w:jc w:val="center"/>
        </w:trPr>
        <w:tc>
          <w:tcPr>
            <w:tcW w:w="3035" w:type="dxa"/>
            <w:tcBorders>
              <w:top w:val="single" w:sz="2" w:space="0" w:color="000000"/>
              <w:left w:val="single" w:sz="2" w:space="0" w:color="000000"/>
              <w:bottom w:val="single" w:sz="2" w:space="0" w:color="000000"/>
              <w:right w:val="nil"/>
            </w:tcBorders>
          </w:tcPr>
          <w:p w:rsidR="00A138FF" w:rsidRPr="00EF7DDC" w:rsidRDefault="00EF7DDC" w:rsidP="008B6CB5">
            <w:pPr>
              <w:spacing w:after="0" w:line="259" w:lineRule="auto"/>
              <w:ind w:left="119" w:right="0" w:firstLine="0"/>
              <w:jc w:val="left"/>
              <w:rPr>
                <w:rFonts w:ascii="Cambria" w:hAnsi="Cambria"/>
                <w:color w:val="auto"/>
                <w:sz w:val="24"/>
                <w:szCs w:val="24"/>
              </w:rPr>
            </w:pPr>
            <w:r w:rsidRPr="00EF7DDC">
              <w:rPr>
                <w:rFonts w:ascii="Cambria" w:hAnsi="Cambria"/>
                <w:noProof/>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1529080</wp:posOffset>
                      </wp:positionH>
                      <wp:positionV relativeFrom="paragraph">
                        <wp:posOffset>111760</wp:posOffset>
                      </wp:positionV>
                      <wp:extent cx="142875" cy="95250"/>
                      <wp:effectExtent l="19050" t="19050" r="28575" b="38100"/>
                      <wp:wrapNone/>
                      <wp:docPr id="1" name="Arrow: Notched Right 1"/>
                      <wp:cNvGraphicFramePr/>
                      <a:graphic xmlns:a="http://schemas.openxmlformats.org/drawingml/2006/main">
                        <a:graphicData uri="http://schemas.microsoft.com/office/word/2010/wordprocessingShape">
                          <wps:wsp>
                            <wps:cNvSpPr/>
                            <wps:spPr>
                              <a:xfrm>
                                <a:off x="0" y="0"/>
                                <a:ext cx="142875" cy="95250"/>
                              </a:xfrm>
                              <a:prstGeom prst="notch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AEC42"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1" o:spid="_x0000_s1026" type="#_x0000_t94" style="position:absolute;margin-left:120.4pt;margin-top:8.8pt;width:1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" adj="14400" fillcolor="white [3201]" strokecolor="black [3213]" strokeweight="1pt"/>
                  </w:pict>
                </mc:Fallback>
              </mc:AlternateContent>
            </w:r>
            <w:r w:rsidR="00A138FF" w:rsidRPr="00EF7DDC">
              <w:rPr>
                <w:rFonts w:ascii="Cambria" w:hAnsi="Cambria"/>
                <w:color w:val="auto"/>
                <w:sz w:val="24"/>
                <w:szCs w:val="24"/>
              </w:rPr>
              <w:t>Injection point</w:t>
            </w:r>
          </w:p>
        </w:tc>
        <w:tc>
          <w:tcPr>
            <w:tcW w:w="139" w:type="dxa"/>
            <w:tcBorders>
              <w:top w:val="single" w:sz="2" w:space="0" w:color="000000"/>
              <w:left w:val="nil"/>
              <w:bottom w:val="single" w:sz="2" w:space="0" w:color="000000"/>
              <w:right w:val="single" w:sz="2" w:space="0" w:color="000000"/>
            </w:tcBorders>
          </w:tcPr>
          <w:p w:rsidR="00A138FF" w:rsidRPr="00EF7DDC" w:rsidRDefault="00A138FF" w:rsidP="008B6CB5">
            <w:pPr>
              <w:spacing w:after="160" w:line="259" w:lineRule="auto"/>
              <w:ind w:left="0" w:right="0" w:firstLine="0"/>
              <w:jc w:val="left"/>
              <w:rPr>
                <w:rFonts w:ascii="Cambria" w:hAnsi="Cambria"/>
                <w:color w:val="auto"/>
                <w:sz w:val="24"/>
                <w:szCs w:val="24"/>
              </w:rPr>
            </w:pPr>
          </w:p>
        </w:tc>
        <w:tc>
          <w:tcPr>
            <w:tcW w:w="1830" w:type="dxa"/>
            <w:vMerge w:val="restart"/>
            <w:tcBorders>
              <w:top w:val="single" w:sz="2" w:space="0" w:color="000000"/>
              <w:left w:val="single" w:sz="2" w:space="0" w:color="000000"/>
              <w:bottom w:val="single" w:sz="2" w:space="0" w:color="000000"/>
              <w:right w:val="single" w:sz="2" w:space="0" w:color="000000"/>
            </w:tcBorders>
          </w:tcPr>
          <w:p w:rsidR="00A138FF" w:rsidRPr="00A138FF" w:rsidRDefault="00A138FF" w:rsidP="008B6CB5">
            <w:pPr>
              <w:spacing w:after="0" w:line="259" w:lineRule="auto"/>
              <w:ind w:left="164" w:right="0" w:firstLine="0"/>
              <w:jc w:val="center"/>
              <w:rPr>
                <w:rFonts w:ascii="Cambria" w:hAnsi="Cambria"/>
                <w:b/>
                <w:bCs/>
                <w:sz w:val="24"/>
                <w:szCs w:val="24"/>
              </w:rPr>
            </w:pPr>
            <w:r w:rsidRPr="00A138FF">
              <w:rPr>
                <w:rFonts w:ascii="Cambria" w:hAnsi="Cambria"/>
                <w:b/>
                <w:bCs/>
                <w:sz w:val="24"/>
                <w:szCs w:val="24"/>
              </w:rPr>
              <w:t>HT</w:t>
            </w:r>
          </w:p>
        </w:tc>
        <w:tc>
          <w:tcPr>
            <w:tcW w:w="1527" w:type="dxa"/>
            <w:vMerge w:val="restart"/>
            <w:tcBorders>
              <w:top w:val="single" w:sz="2" w:space="0" w:color="000000"/>
              <w:left w:val="single" w:sz="2" w:space="0" w:color="000000"/>
              <w:bottom w:val="single" w:sz="2" w:space="0" w:color="000000"/>
              <w:right w:val="single" w:sz="2" w:space="0" w:color="000000"/>
            </w:tcBorders>
          </w:tcPr>
          <w:p w:rsidR="00A138FF" w:rsidRPr="00A138FF" w:rsidRDefault="00A138FF" w:rsidP="008B6CB5">
            <w:pPr>
              <w:spacing w:after="160" w:line="259" w:lineRule="auto"/>
              <w:ind w:left="0" w:right="0" w:firstLine="0"/>
              <w:jc w:val="center"/>
              <w:rPr>
                <w:rFonts w:ascii="Cambria" w:hAnsi="Cambria"/>
                <w:b/>
                <w:bCs/>
                <w:sz w:val="24"/>
                <w:szCs w:val="24"/>
              </w:rPr>
            </w:pPr>
            <w:r w:rsidRPr="00A138FF">
              <w:rPr>
                <w:rFonts w:ascii="Cambria" w:hAnsi="Cambria"/>
                <w:b/>
                <w:bCs/>
                <w:sz w:val="24"/>
                <w:szCs w:val="24"/>
              </w:rPr>
              <w:t>LT</w:t>
            </w:r>
          </w:p>
        </w:tc>
        <w:bookmarkStart w:id="0" w:name="_GoBack"/>
        <w:bookmarkEnd w:id="0"/>
      </w:tr>
      <w:tr w:rsidR="00A138FF" w:rsidRPr="00A138FF" w:rsidTr="00A138FF">
        <w:trPr>
          <w:trHeight w:val="350"/>
          <w:jc w:val="center"/>
        </w:trPr>
        <w:tc>
          <w:tcPr>
            <w:tcW w:w="3035" w:type="dxa"/>
            <w:tcBorders>
              <w:top w:val="single" w:sz="2" w:space="0" w:color="000000"/>
              <w:left w:val="single" w:sz="2" w:space="0" w:color="000000"/>
              <w:bottom w:val="single" w:sz="2" w:space="0" w:color="000000"/>
              <w:right w:val="nil"/>
            </w:tcBorders>
          </w:tcPr>
          <w:p w:rsidR="00A138FF" w:rsidRPr="00A138FF" w:rsidRDefault="00EF7DDC" w:rsidP="008B6CB5">
            <w:pPr>
              <w:spacing w:after="0" w:line="259" w:lineRule="auto"/>
              <w:ind w:left="112" w:right="0" w:firstLine="0"/>
              <w:jc w:val="left"/>
              <w:rPr>
                <w:rFonts w:ascii="Cambria" w:hAnsi="Cambria"/>
                <w:sz w:val="24"/>
                <w:szCs w:val="24"/>
              </w:rPr>
            </w:pPr>
            <w:r w:rsidRPr="00EF7DDC">
              <w:rPr>
                <w:rFonts w:ascii="Cambria" w:hAnsi="Cambria"/>
                <w:noProof/>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1433830</wp:posOffset>
                      </wp:positionH>
                      <wp:positionV relativeFrom="paragraph">
                        <wp:posOffset>68580</wp:posOffset>
                      </wp:positionV>
                      <wp:extent cx="228600" cy="95250"/>
                      <wp:effectExtent l="38100" t="0" r="19050" b="38100"/>
                      <wp:wrapNone/>
                      <wp:docPr id="3" name="Arrow: Down 3"/>
                      <wp:cNvGraphicFramePr/>
                      <a:graphic xmlns:a="http://schemas.openxmlformats.org/drawingml/2006/main">
                        <a:graphicData uri="http://schemas.microsoft.com/office/word/2010/wordprocessingShape">
                          <wps:wsp>
                            <wps:cNvSpPr/>
                            <wps:spPr>
                              <a:xfrm>
                                <a:off x="0" y="0"/>
                                <a:ext cx="228600" cy="9525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BC1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112.9pt;margin-top:5.4pt;width:18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" adj="10800" fillcolor="white [3201]" strokecolor="black [3213]" strokeweight="1pt"/>
                  </w:pict>
                </mc:Fallback>
              </mc:AlternateContent>
            </w:r>
            <w:proofErr w:type="spellStart"/>
            <w:r w:rsidR="00A138FF" w:rsidRPr="00A138FF">
              <w:rPr>
                <w:rFonts w:ascii="Cambria" w:hAnsi="Cambria"/>
                <w:sz w:val="24"/>
                <w:szCs w:val="24"/>
              </w:rPr>
              <w:t>Drawal</w:t>
            </w:r>
            <w:proofErr w:type="spellEnd"/>
            <w:r w:rsidR="00A138FF" w:rsidRPr="00A138FF">
              <w:rPr>
                <w:rFonts w:ascii="Cambria" w:hAnsi="Cambria"/>
                <w:sz w:val="24"/>
                <w:szCs w:val="24"/>
              </w:rPr>
              <w:t xml:space="preserve"> point</w:t>
            </w:r>
          </w:p>
        </w:tc>
        <w:tc>
          <w:tcPr>
            <w:tcW w:w="139" w:type="dxa"/>
            <w:tcBorders>
              <w:top w:val="single" w:sz="2" w:space="0" w:color="000000"/>
              <w:left w:val="nil"/>
              <w:bottom w:val="single" w:sz="2" w:space="0" w:color="000000"/>
              <w:right w:val="single" w:sz="2" w:space="0" w:color="000000"/>
            </w:tcBorders>
          </w:tcPr>
          <w:p w:rsidR="00A138FF" w:rsidRPr="00A138FF" w:rsidRDefault="00A138FF" w:rsidP="008B6CB5">
            <w:pPr>
              <w:spacing w:after="160" w:line="259" w:lineRule="auto"/>
              <w:ind w:left="0" w:right="0" w:firstLine="0"/>
              <w:jc w:val="left"/>
              <w:rPr>
                <w:rFonts w:ascii="Cambria" w:hAnsi="Cambria"/>
                <w:sz w:val="24"/>
                <w:szCs w:val="24"/>
              </w:rPr>
            </w:pPr>
          </w:p>
        </w:tc>
        <w:tc>
          <w:tcPr>
            <w:tcW w:w="1830" w:type="dxa"/>
            <w:vMerge/>
            <w:tcBorders>
              <w:top w:val="nil"/>
              <w:left w:val="single" w:sz="2" w:space="0" w:color="000000"/>
              <w:bottom w:val="single" w:sz="2" w:space="0" w:color="000000"/>
              <w:right w:val="single" w:sz="2" w:space="0" w:color="000000"/>
            </w:tcBorders>
          </w:tcPr>
          <w:p w:rsidR="00A138FF" w:rsidRPr="00A138FF" w:rsidRDefault="00A138FF" w:rsidP="008B6CB5">
            <w:pPr>
              <w:spacing w:after="160" w:line="259" w:lineRule="auto"/>
              <w:ind w:left="0" w:right="0" w:firstLine="0"/>
              <w:jc w:val="left"/>
              <w:rPr>
                <w:rFonts w:ascii="Cambria" w:hAnsi="Cambria"/>
                <w:sz w:val="24"/>
                <w:szCs w:val="24"/>
              </w:rPr>
            </w:pPr>
          </w:p>
        </w:tc>
        <w:tc>
          <w:tcPr>
            <w:tcW w:w="0" w:type="auto"/>
            <w:vMerge/>
            <w:tcBorders>
              <w:top w:val="nil"/>
              <w:left w:val="single" w:sz="2" w:space="0" w:color="000000"/>
              <w:bottom w:val="single" w:sz="2" w:space="0" w:color="000000"/>
              <w:right w:val="single" w:sz="2" w:space="0" w:color="000000"/>
            </w:tcBorders>
          </w:tcPr>
          <w:p w:rsidR="00A138FF" w:rsidRPr="00A138FF" w:rsidRDefault="00A138FF" w:rsidP="008B6CB5">
            <w:pPr>
              <w:spacing w:after="160" w:line="259" w:lineRule="auto"/>
              <w:ind w:left="0" w:right="0" w:firstLine="0"/>
              <w:jc w:val="left"/>
              <w:rPr>
                <w:rFonts w:ascii="Cambria" w:hAnsi="Cambria"/>
                <w:sz w:val="24"/>
                <w:szCs w:val="24"/>
              </w:rPr>
            </w:pPr>
          </w:p>
        </w:tc>
      </w:tr>
      <w:tr w:rsidR="00A138FF" w:rsidRPr="00A138FF" w:rsidTr="00A138FF">
        <w:trPr>
          <w:trHeight w:val="318"/>
          <w:jc w:val="center"/>
        </w:trPr>
        <w:tc>
          <w:tcPr>
            <w:tcW w:w="3035" w:type="dxa"/>
            <w:tcBorders>
              <w:top w:val="single" w:sz="2" w:space="0" w:color="000000"/>
              <w:left w:val="single" w:sz="2" w:space="0" w:color="000000"/>
              <w:bottom w:val="single" w:sz="2" w:space="0" w:color="000000"/>
              <w:right w:val="nil"/>
            </w:tcBorders>
          </w:tcPr>
          <w:p w:rsidR="00A138FF" w:rsidRPr="00A138FF" w:rsidRDefault="00A138FF" w:rsidP="008B6CB5">
            <w:pPr>
              <w:spacing w:after="160" w:line="259" w:lineRule="auto"/>
              <w:ind w:left="0" w:right="0" w:firstLine="0"/>
              <w:jc w:val="left"/>
              <w:rPr>
                <w:rFonts w:ascii="Cambria" w:hAnsi="Cambria"/>
                <w:b/>
                <w:bCs/>
                <w:sz w:val="24"/>
                <w:szCs w:val="24"/>
              </w:rPr>
            </w:pPr>
          </w:p>
        </w:tc>
        <w:tc>
          <w:tcPr>
            <w:tcW w:w="139" w:type="dxa"/>
            <w:tcBorders>
              <w:top w:val="single" w:sz="2" w:space="0" w:color="000000"/>
              <w:left w:val="nil"/>
              <w:bottom w:val="single" w:sz="2" w:space="0" w:color="000000"/>
              <w:right w:val="single" w:sz="2" w:space="0" w:color="000000"/>
            </w:tcBorders>
          </w:tcPr>
          <w:p w:rsidR="00A138FF" w:rsidRPr="00A138FF" w:rsidRDefault="00A138FF" w:rsidP="008B6CB5">
            <w:pPr>
              <w:spacing w:after="0" w:line="259" w:lineRule="auto"/>
              <w:ind w:left="0" w:right="0" w:firstLine="0"/>
              <w:jc w:val="left"/>
              <w:rPr>
                <w:rFonts w:ascii="Cambria" w:hAnsi="Cambria"/>
                <w:b/>
                <w:bCs/>
                <w:sz w:val="24"/>
                <w:szCs w:val="24"/>
              </w:rPr>
            </w:pPr>
            <w:r w:rsidRPr="00A138FF">
              <w:rPr>
                <w:rFonts w:ascii="Cambria" w:hAnsi="Cambria"/>
                <w:b/>
                <w:bCs/>
                <w:sz w:val="24"/>
                <w:szCs w:val="24"/>
              </w:rPr>
              <w:t>HT</w:t>
            </w:r>
          </w:p>
        </w:tc>
        <w:tc>
          <w:tcPr>
            <w:tcW w:w="1830" w:type="dxa"/>
            <w:tcBorders>
              <w:top w:val="single" w:sz="2" w:space="0" w:color="000000"/>
              <w:left w:val="single" w:sz="2" w:space="0" w:color="000000"/>
              <w:bottom w:val="single" w:sz="2" w:space="0" w:color="000000"/>
              <w:right w:val="single" w:sz="2" w:space="0" w:color="000000"/>
            </w:tcBorders>
          </w:tcPr>
          <w:p w:rsidR="00A138FF" w:rsidRPr="00A138FF" w:rsidRDefault="00A138FF" w:rsidP="00A138FF">
            <w:pPr>
              <w:jc w:val="center"/>
              <w:rPr>
                <w:rFonts w:ascii="Cambria" w:hAnsi="Cambria"/>
                <w:sz w:val="24"/>
                <w:szCs w:val="24"/>
              </w:rPr>
            </w:pPr>
            <w:r w:rsidRPr="00A138FF">
              <w:rPr>
                <w:rFonts w:ascii="Cambria" w:hAnsi="Cambria"/>
                <w:sz w:val="24"/>
                <w:szCs w:val="24"/>
              </w:rPr>
              <w:t>32(4.93%)</w:t>
            </w:r>
          </w:p>
        </w:tc>
        <w:tc>
          <w:tcPr>
            <w:tcW w:w="1527" w:type="dxa"/>
            <w:tcBorders>
              <w:top w:val="single" w:sz="2" w:space="0" w:color="000000"/>
              <w:left w:val="single" w:sz="2" w:space="0" w:color="000000"/>
              <w:bottom w:val="single" w:sz="2" w:space="0" w:color="000000"/>
              <w:right w:val="single" w:sz="2" w:space="0" w:color="000000"/>
            </w:tcBorders>
          </w:tcPr>
          <w:p w:rsidR="00A138FF" w:rsidRPr="00A138FF" w:rsidRDefault="00A138FF" w:rsidP="00A138FF">
            <w:pPr>
              <w:jc w:val="center"/>
              <w:rPr>
                <w:rFonts w:ascii="Cambria" w:hAnsi="Cambria"/>
                <w:sz w:val="24"/>
                <w:szCs w:val="24"/>
              </w:rPr>
            </w:pPr>
            <w:r w:rsidRPr="00A138FF">
              <w:rPr>
                <w:rFonts w:ascii="Cambria" w:hAnsi="Cambria"/>
                <w:sz w:val="24"/>
                <w:szCs w:val="24"/>
              </w:rPr>
              <w:t>107(13.58%)</w:t>
            </w:r>
          </w:p>
        </w:tc>
      </w:tr>
      <w:tr w:rsidR="00A138FF" w:rsidRPr="00A138FF" w:rsidTr="00A138FF">
        <w:trPr>
          <w:trHeight w:val="365"/>
          <w:jc w:val="center"/>
        </w:trPr>
        <w:tc>
          <w:tcPr>
            <w:tcW w:w="3035" w:type="dxa"/>
            <w:tcBorders>
              <w:top w:val="single" w:sz="2" w:space="0" w:color="000000"/>
              <w:left w:val="single" w:sz="2" w:space="0" w:color="000000"/>
              <w:bottom w:val="single" w:sz="2" w:space="0" w:color="000000"/>
              <w:right w:val="nil"/>
            </w:tcBorders>
          </w:tcPr>
          <w:p w:rsidR="00A138FF" w:rsidRPr="00A138FF" w:rsidRDefault="00A138FF" w:rsidP="008B6CB5">
            <w:pPr>
              <w:spacing w:after="160" w:line="259" w:lineRule="auto"/>
              <w:ind w:left="0" w:right="0" w:firstLine="0"/>
              <w:jc w:val="left"/>
              <w:rPr>
                <w:rFonts w:ascii="Cambria" w:hAnsi="Cambria"/>
                <w:b/>
                <w:bCs/>
                <w:sz w:val="24"/>
                <w:szCs w:val="24"/>
              </w:rPr>
            </w:pPr>
          </w:p>
        </w:tc>
        <w:tc>
          <w:tcPr>
            <w:tcW w:w="139" w:type="dxa"/>
            <w:tcBorders>
              <w:top w:val="single" w:sz="2" w:space="0" w:color="000000"/>
              <w:left w:val="nil"/>
              <w:bottom w:val="single" w:sz="2" w:space="0" w:color="000000"/>
              <w:right w:val="single" w:sz="2" w:space="0" w:color="000000"/>
            </w:tcBorders>
          </w:tcPr>
          <w:p w:rsidR="00A138FF" w:rsidRPr="00A138FF" w:rsidRDefault="00A138FF" w:rsidP="008B6CB5">
            <w:pPr>
              <w:spacing w:after="160" w:line="259" w:lineRule="auto"/>
              <w:ind w:left="0" w:right="0" w:firstLine="0"/>
              <w:jc w:val="left"/>
              <w:rPr>
                <w:rFonts w:ascii="Cambria" w:hAnsi="Cambria"/>
                <w:b/>
                <w:bCs/>
                <w:sz w:val="24"/>
                <w:szCs w:val="24"/>
              </w:rPr>
            </w:pPr>
            <w:r w:rsidRPr="00A138FF">
              <w:rPr>
                <w:rFonts w:ascii="Cambria" w:hAnsi="Cambria"/>
                <w:b/>
                <w:bCs/>
                <w:sz w:val="24"/>
                <w:szCs w:val="24"/>
              </w:rPr>
              <w:t>LT</w:t>
            </w:r>
          </w:p>
        </w:tc>
        <w:tc>
          <w:tcPr>
            <w:tcW w:w="1830" w:type="dxa"/>
            <w:tcBorders>
              <w:top w:val="single" w:sz="2" w:space="0" w:color="000000"/>
              <w:left w:val="single" w:sz="2" w:space="0" w:color="000000"/>
              <w:bottom w:val="single" w:sz="2" w:space="0" w:color="000000"/>
              <w:right w:val="single" w:sz="2" w:space="0" w:color="000000"/>
            </w:tcBorders>
          </w:tcPr>
          <w:p w:rsidR="00A138FF" w:rsidRPr="00A138FF" w:rsidRDefault="00A138FF" w:rsidP="00A138FF">
            <w:pPr>
              <w:jc w:val="center"/>
              <w:rPr>
                <w:rFonts w:ascii="Cambria" w:hAnsi="Cambria"/>
                <w:sz w:val="24"/>
                <w:szCs w:val="24"/>
              </w:rPr>
            </w:pPr>
            <w:r w:rsidRPr="00A138FF">
              <w:rPr>
                <w:rFonts w:ascii="Cambria" w:hAnsi="Cambria"/>
                <w:sz w:val="24"/>
                <w:szCs w:val="24"/>
              </w:rPr>
              <w:t>107(13.58%)</w:t>
            </w:r>
          </w:p>
        </w:tc>
        <w:tc>
          <w:tcPr>
            <w:tcW w:w="1527" w:type="dxa"/>
            <w:tcBorders>
              <w:top w:val="single" w:sz="2" w:space="0" w:color="000000"/>
              <w:left w:val="single" w:sz="2" w:space="0" w:color="000000"/>
              <w:bottom w:val="single" w:sz="2" w:space="0" w:color="000000"/>
              <w:right w:val="single" w:sz="2" w:space="0" w:color="000000"/>
            </w:tcBorders>
          </w:tcPr>
          <w:p w:rsidR="00A138FF" w:rsidRPr="00A138FF" w:rsidRDefault="00A138FF" w:rsidP="00A138FF">
            <w:pPr>
              <w:jc w:val="center"/>
              <w:rPr>
                <w:rFonts w:ascii="Cambria" w:hAnsi="Cambria"/>
                <w:sz w:val="24"/>
                <w:szCs w:val="24"/>
              </w:rPr>
            </w:pPr>
            <w:r w:rsidRPr="00A138FF">
              <w:rPr>
                <w:rFonts w:ascii="Cambria" w:hAnsi="Cambria"/>
                <w:sz w:val="24"/>
                <w:szCs w:val="24"/>
              </w:rPr>
              <w:t>75(8.65%)</w:t>
            </w:r>
          </w:p>
        </w:tc>
      </w:tr>
    </w:tbl>
    <w:p w:rsidR="00A138FF" w:rsidRPr="00A138FF" w:rsidRDefault="00A138FF" w:rsidP="00A138FF">
      <w:pPr>
        <w:spacing w:after="68" w:line="360" w:lineRule="auto"/>
        <w:ind w:left="16" w:right="0"/>
        <w:jc w:val="left"/>
        <w:rPr>
          <w:rFonts w:ascii="Cambria" w:hAnsi="Cambria"/>
          <w:b/>
          <w:bCs/>
          <w:sz w:val="24"/>
          <w:szCs w:val="24"/>
        </w:rPr>
      </w:pPr>
      <w:r w:rsidRPr="00A138FF">
        <w:rPr>
          <w:rFonts w:ascii="Cambria" w:hAnsi="Cambria"/>
          <w:b/>
          <w:bCs/>
          <w:sz w:val="24"/>
          <w:szCs w:val="24"/>
        </w:rPr>
        <w:t>Note: Figures in brackets are applicable loss</w:t>
      </w:r>
    </w:p>
    <w:p w:rsidR="00A138FF" w:rsidRDefault="00A138FF" w:rsidP="00A138FF">
      <w:pPr>
        <w:spacing w:after="106" w:line="360" w:lineRule="auto"/>
        <w:ind w:left="16" w:right="0"/>
        <w:rPr>
          <w:rFonts w:ascii="Cambria" w:hAnsi="Cambria"/>
          <w:sz w:val="24"/>
          <w:szCs w:val="24"/>
        </w:rPr>
      </w:pPr>
    </w:p>
    <w:p w:rsidR="00A138FF" w:rsidRPr="00A138FF" w:rsidRDefault="00A138FF" w:rsidP="00A138FF">
      <w:pPr>
        <w:spacing w:after="106" w:line="360" w:lineRule="auto"/>
        <w:ind w:left="16" w:right="0"/>
        <w:rPr>
          <w:rFonts w:ascii="Cambria" w:hAnsi="Cambria"/>
          <w:sz w:val="24"/>
          <w:szCs w:val="24"/>
        </w:rPr>
      </w:pPr>
      <w:r w:rsidRPr="00A138FF">
        <w:rPr>
          <w:rFonts w:ascii="Cambria" w:hAnsi="Cambria"/>
          <w:sz w:val="24"/>
          <w:szCs w:val="24"/>
        </w:rPr>
        <w:t>The wheeling charges as determined above are applicable to all the open access or wheeling transactions for using the HESCOM network only, except for energy transmitted or wheeled from renewable sources to the consumers within the State.</w:t>
      </w:r>
    </w:p>
    <w:p w:rsidR="00A138FF" w:rsidRPr="00A138FF" w:rsidRDefault="00A138FF" w:rsidP="00A138FF">
      <w:pPr>
        <w:spacing w:after="68" w:line="360" w:lineRule="auto"/>
        <w:ind w:left="16" w:right="0"/>
        <w:rPr>
          <w:rFonts w:ascii="Cambria" w:hAnsi="Cambria"/>
          <w:b/>
          <w:bCs/>
          <w:sz w:val="24"/>
          <w:szCs w:val="24"/>
        </w:rPr>
      </w:pPr>
      <w:r w:rsidRPr="00A138FF">
        <w:rPr>
          <w:rFonts w:ascii="Cambria" w:hAnsi="Cambria"/>
          <w:b/>
          <w:bCs/>
          <w:sz w:val="24"/>
          <w:szCs w:val="24"/>
        </w:rPr>
        <w:t>Charges for Wheeling of energy by Renewable Energy (RE) sources (Non-REC route) to consumers in the State:</w:t>
      </w:r>
    </w:p>
    <w:p w:rsidR="00A138FF" w:rsidRDefault="00A138FF" w:rsidP="00A138FF">
      <w:pPr>
        <w:spacing w:after="96" w:line="360" w:lineRule="auto"/>
        <w:ind w:left="16" w:right="0"/>
        <w:rPr>
          <w:rFonts w:ascii="Cambria" w:hAnsi="Cambria"/>
          <w:sz w:val="24"/>
          <w:szCs w:val="24"/>
        </w:rPr>
      </w:pPr>
      <w:r w:rsidRPr="00A138FF">
        <w:rPr>
          <w:rFonts w:ascii="Cambria" w:hAnsi="Cambria"/>
          <w:sz w:val="24"/>
          <w:szCs w:val="24"/>
        </w:rPr>
        <w:t>The separate orders issued by the Commission from time to time in the matter of wheeling and banking charges for RE sources (Non-REC route) wheeling energy to consumers within the State shall be applicable.</w:t>
      </w:r>
    </w:p>
    <w:p w:rsidR="00A138FF" w:rsidRPr="00A138FF" w:rsidRDefault="00A138FF" w:rsidP="00A138FF">
      <w:pPr>
        <w:spacing w:after="96" w:line="360" w:lineRule="auto"/>
        <w:ind w:left="16" w:right="0"/>
        <w:rPr>
          <w:rFonts w:ascii="Cambria" w:hAnsi="Cambria"/>
          <w:sz w:val="24"/>
          <w:szCs w:val="24"/>
        </w:rPr>
      </w:pPr>
    </w:p>
    <w:p w:rsidR="00A138FF" w:rsidRPr="00A138FF" w:rsidRDefault="00A138FF" w:rsidP="00A138FF">
      <w:pPr>
        <w:spacing w:after="83" w:line="360" w:lineRule="auto"/>
        <w:ind w:left="16" w:right="0"/>
        <w:rPr>
          <w:rFonts w:ascii="Cambria" w:hAnsi="Cambria"/>
          <w:b/>
          <w:bCs/>
          <w:sz w:val="24"/>
          <w:szCs w:val="24"/>
        </w:rPr>
      </w:pPr>
      <w:r w:rsidRPr="00A138FF">
        <w:rPr>
          <w:rFonts w:ascii="Cambria" w:hAnsi="Cambria"/>
          <w:b/>
          <w:bCs/>
          <w:sz w:val="24"/>
          <w:szCs w:val="24"/>
        </w:rPr>
        <w:t>Charges for Wheeling Energy by RE Sources, Wheeling Energy from the State to a Consumer/Others outside the State and for those opting for Renewable Energy Certificate [REC]:</w:t>
      </w:r>
    </w:p>
    <w:p w:rsidR="00A138FF" w:rsidRDefault="00A138FF" w:rsidP="00A138FF">
      <w:pPr>
        <w:spacing w:after="123" w:line="360" w:lineRule="auto"/>
        <w:ind w:left="16" w:right="0"/>
        <w:rPr>
          <w:rFonts w:ascii="Cambria" w:hAnsi="Cambria"/>
          <w:sz w:val="24"/>
          <w:szCs w:val="24"/>
        </w:rPr>
      </w:pPr>
      <w:r w:rsidRPr="00A138FF">
        <w:rPr>
          <w:rFonts w:ascii="Cambria" w:hAnsi="Cambria"/>
          <w:sz w:val="24"/>
          <w:szCs w:val="24"/>
        </w:rPr>
        <w:t>In case the renewable energy is wheeled from the State to a consumer or others outside the State, the normal wheeling charges as determined in the Tariff Order shall be applicable. For Captive RE generators including solar power projects opting for RECs, the wheeling charges as specified in the Orders issued by the Commission from time to time shall be applicable.</w:t>
      </w:r>
    </w:p>
    <w:p w:rsidR="00A138FF" w:rsidRPr="00A138FF" w:rsidRDefault="00A138FF" w:rsidP="00A138FF">
      <w:pPr>
        <w:spacing w:after="123" w:line="360" w:lineRule="auto"/>
        <w:ind w:left="16" w:right="0"/>
        <w:rPr>
          <w:rFonts w:ascii="Cambria" w:hAnsi="Cambria"/>
          <w:sz w:val="24"/>
          <w:szCs w:val="24"/>
        </w:rPr>
      </w:pPr>
    </w:p>
    <w:p w:rsidR="00A138FF" w:rsidRPr="00A138FF" w:rsidRDefault="00A138FF" w:rsidP="00A138FF">
      <w:pPr>
        <w:spacing w:after="68" w:line="360" w:lineRule="auto"/>
        <w:ind w:left="16" w:right="0"/>
        <w:jc w:val="left"/>
        <w:rPr>
          <w:rFonts w:ascii="Cambria" w:hAnsi="Cambria"/>
          <w:b/>
          <w:bCs/>
          <w:sz w:val="24"/>
          <w:szCs w:val="24"/>
        </w:rPr>
      </w:pPr>
      <w:r w:rsidRPr="00A138FF">
        <w:rPr>
          <w:rFonts w:ascii="Cambria" w:hAnsi="Cambria"/>
          <w:b/>
          <w:bCs/>
          <w:sz w:val="24"/>
          <w:szCs w:val="24"/>
        </w:rPr>
        <w:t>Cross Subsidy Surcharge (CSS) for Open Access:</w:t>
      </w:r>
    </w:p>
    <w:p w:rsidR="00A138FF" w:rsidRDefault="00A138FF" w:rsidP="00A138FF">
      <w:pPr>
        <w:spacing w:after="249" w:line="360" w:lineRule="auto"/>
        <w:ind w:left="16" w:right="0"/>
        <w:rPr>
          <w:rFonts w:ascii="Cambria" w:hAnsi="Cambria"/>
          <w:sz w:val="24"/>
          <w:szCs w:val="24"/>
        </w:rPr>
      </w:pPr>
      <w:r w:rsidRPr="00A138FF">
        <w:rPr>
          <w:rFonts w:ascii="Cambria" w:hAnsi="Cambria"/>
          <w:sz w:val="24"/>
          <w:szCs w:val="24"/>
        </w:rPr>
        <w:t>The Cross Subsidy Surcharge (CSS) determined in the Tariff Order shall be applicable to all open access/wheeling transactions in the area coming under HESCOM.</w:t>
      </w:r>
    </w:p>
    <w:p w:rsidR="00A138FF" w:rsidRPr="00A138FF" w:rsidRDefault="00A138FF" w:rsidP="00A138FF">
      <w:pPr>
        <w:spacing w:after="0" w:line="259" w:lineRule="auto"/>
        <w:ind w:left="6480" w:right="0" w:firstLine="720"/>
        <w:jc w:val="center"/>
        <w:rPr>
          <w:rFonts w:ascii="Cambria" w:hAnsi="Cambria"/>
          <w:b/>
          <w:bCs/>
          <w:sz w:val="24"/>
          <w:szCs w:val="24"/>
        </w:rPr>
      </w:pPr>
      <w:r w:rsidRPr="00A138FF">
        <w:rPr>
          <w:rFonts w:ascii="Cambria" w:hAnsi="Cambria"/>
          <w:b/>
          <w:bCs/>
          <w:sz w:val="24"/>
          <w:szCs w:val="24"/>
        </w:rPr>
        <w:lastRenderedPageBreak/>
        <w:t>Paise/unit</w:t>
      </w:r>
    </w:p>
    <w:tbl>
      <w:tblPr>
        <w:tblW w:w="9677" w:type="dxa"/>
        <w:tblInd w:w="-5" w:type="dxa"/>
        <w:tblLook w:val="04A0" w:firstRow="1" w:lastRow="0" w:firstColumn="1" w:lastColumn="0" w:noHBand="0" w:noVBand="1"/>
      </w:tblPr>
      <w:tblGrid>
        <w:gridCol w:w="4216"/>
        <w:gridCol w:w="2167"/>
        <w:gridCol w:w="3294"/>
      </w:tblGrid>
      <w:tr w:rsidR="00A138FF" w:rsidRPr="00A138FF" w:rsidTr="00A138FF">
        <w:trPr>
          <w:trHeight w:val="371"/>
        </w:trPr>
        <w:tc>
          <w:tcPr>
            <w:tcW w:w="42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 xml:space="preserve">  </w:t>
            </w:r>
            <w:r w:rsidRPr="00A138FF">
              <w:rPr>
                <w:rFonts w:ascii="Cambria" w:eastAsia="Times New Roman" w:hAnsi="Cambria" w:cs="Times New Roman"/>
                <w:b/>
                <w:bCs/>
                <w:sz w:val="24"/>
                <w:szCs w:val="24"/>
              </w:rPr>
              <w:t xml:space="preserve">Particulars </w:t>
            </w:r>
          </w:p>
        </w:tc>
        <w:tc>
          <w:tcPr>
            <w:tcW w:w="216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b/>
                <w:bCs/>
                <w:sz w:val="24"/>
                <w:szCs w:val="24"/>
              </w:rPr>
            </w:pPr>
            <w:r w:rsidRPr="00A138FF">
              <w:rPr>
                <w:rFonts w:ascii="Cambria" w:eastAsia="Times New Roman" w:hAnsi="Cambria" w:cs="Times New Roman"/>
                <w:b/>
                <w:bCs/>
                <w:sz w:val="24"/>
                <w:szCs w:val="24"/>
              </w:rPr>
              <w:t xml:space="preserve">66 kV &amp; above </w:t>
            </w:r>
          </w:p>
        </w:tc>
        <w:tc>
          <w:tcPr>
            <w:tcW w:w="329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b/>
                <w:bCs/>
                <w:sz w:val="24"/>
                <w:szCs w:val="24"/>
              </w:rPr>
            </w:pPr>
            <w:r w:rsidRPr="00A138FF">
              <w:rPr>
                <w:rFonts w:ascii="Cambria" w:eastAsia="Times New Roman" w:hAnsi="Cambria" w:cs="Times New Roman"/>
                <w:b/>
                <w:bCs/>
                <w:sz w:val="24"/>
                <w:szCs w:val="24"/>
              </w:rPr>
              <w:t xml:space="preserve">HT level-11 kV/33kV </w:t>
            </w:r>
          </w:p>
        </w:tc>
      </w:tr>
      <w:tr w:rsidR="00A138FF" w:rsidRPr="00A138FF" w:rsidTr="00A138FF">
        <w:trPr>
          <w:trHeight w:val="371"/>
        </w:trPr>
        <w:tc>
          <w:tcPr>
            <w:tcW w:w="4216" w:type="dxa"/>
            <w:vMerge/>
            <w:tcBorders>
              <w:top w:val="single" w:sz="4" w:space="0" w:color="auto"/>
              <w:left w:val="single" w:sz="4" w:space="0" w:color="auto"/>
              <w:bottom w:val="single" w:sz="4" w:space="0" w:color="auto"/>
              <w:right w:val="single" w:sz="4" w:space="0" w:color="auto"/>
            </w:tcBorders>
            <w:vAlign w:val="center"/>
            <w:hideMark/>
          </w:tcPr>
          <w:p w:rsidR="00A138FF" w:rsidRPr="00A138FF" w:rsidRDefault="00A138FF" w:rsidP="00A138FF">
            <w:pPr>
              <w:spacing w:after="0" w:line="240" w:lineRule="auto"/>
              <w:ind w:left="0" w:right="0" w:firstLine="0"/>
              <w:jc w:val="left"/>
              <w:rPr>
                <w:rFonts w:ascii="Cambria" w:eastAsia="Times New Roman" w:hAnsi="Cambria" w:cs="Times New Roman"/>
                <w:sz w:val="24"/>
                <w:szCs w:val="24"/>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A138FF" w:rsidRPr="00A138FF" w:rsidRDefault="00A138FF" w:rsidP="00A138FF">
            <w:pPr>
              <w:spacing w:after="0" w:line="240" w:lineRule="auto"/>
              <w:ind w:left="0" w:right="0" w:firstLine="0"/>
              <w:jc w:val="left"/>
              <w:rPr>
                <w:rFonts w:ascii="Cambria" w:eastAsia="Times New Roman" w:hAnsi="Cambria" w:cs="Times New Roman"/>
                <w:b/>
                <w:bCs/>
                <w:sz w:val="24"/>
                <w:szCs w:val="24"/>
              </w:rPr>
            </w:pPr>
          </w:p>
        </w:tc>
        <w:tc>
          <w:tcPr>
            <w:tcW w:w="3294" w:type="dxa"/>
            <w:vMerge/>
            <w:tcBorders>
              <w:top w:val="single" w:sz="4" w:space="0" w:color="auto"/>
              <w:left w:val="single" w:sz="4" w:space="0" w:color="auto"/>
              <w:bottom w:val="single" w:sz="4" w:space="0" w:color="auto"/>
              <w:right w:val="single" w:sz="4" w:space="0" w:color="auto"/>
            </w:tcBorders>
            <w:vAlign w:val="center"/>
            <w:hideMark/>
          </w:tcPr>
          <w:p w:rsidR="00A138FF" w:rsidRPr="00A138FF" w:rsidRDefault="00A138FF" w:rsidP="00A138FF">
            <w:pPr>
              <w:spacing w:after="0" w:line="240" w:lineRule="auto"/>
              <w:ind w:left="0" w:right="0" w:firstLine="0"/>
              <w:jc w:val="left"/>
              <w:rPr>
                <w:rFonts w:ascii="Cambria" w:eastAsia="Times New Roman" w:hAnsi="Cambria" w:cs="Times New Roman"/>
                <w:b/>
                <w:bCs/>
                <w:sz w:val="24"/>
                <w:szCs w:val="24"/>
              </w:rPr>
            </w:pPr>
          </w:p>
        </w:tc>
      </w:tr>
      <w:tr w:rsidR="00A138FF" w:rsidRPr="00A138FF" w:rsidTr="00A138FF">
        <w:trPr>
          <w:trHeight w:val="224"/>
        </w:trPr>
        <w:tc>
          <w:tcPr>
            <w:tcW w:w="4216" w:type="dxa"/>
            <w:tcBorders>
              <w:top w:val="nil"/>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left"/>
              <w:rPr>
                <w:rFonts w:ascii="Cambria" w:eastAsia="Times New Roman" w:hAnsi="Cambria" w:cs="Times New Roman"/>
                <w:sz w:val="24"/>
                <w:szCs w:val="24"/>
              </w:rPr>
            </w:pPr>
            <w:r w:rsidRPr="00A138FF">
              <w:rPr>
                <w:rFonts w:ascii="Cambria" w:eastAsia="Times New Roman" w:hAnsi="Cambria" w:cs="Times New Roman"/>
                <w:sz w:val="24"/>
                <w:szCs w:val="24"/>
              </w:rPr>
              <w:t>HT-1 Water Supply</w:t>
            </w:r>
          </w:p>
        </w:tc>
        <w:tc>
          <w:tcPr>
            <w:tcW w:w="2167" w:type="dxa"/>
            <w:tcBorders>
              <w:top w:val="nil"/>
              <w:left w:val="nil"/>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86</w:t>
            </w:r>
          </w:p>
        </w:tc>
        <w:tc>
          <w:tcPr>
            <w:tcW w:w="3294" w:type="dxa"/>
            <w:tcBorders>
              <w:top w:val="nil"/>
              <w:left w:val="nil"/>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38</w:t>
            </w:r>
          </w:p>
        </w:tc>
      </w:tr>
      <w:tr w:rsidR="00A138FF" w:rsidRPr="00A138FF" w:rsidTr="00A138FF">
        <w:trPr>
          <w:trHeight w:val="224"/>
        </w:trPr>
        <w:tc>
          <w:tcPr>
            <w:tcW w:w="4216" w:type="dxa"/>
            <w:tcBorders>
              <w:top w:val="nil"/>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left"/>
              <w:rPr>
                <w:rFonts w:ascii="Cambria" w:eastAsia="Times New Roman" w:hAnsi="Cambria" w:cs="Times New Roman"/>
                <w:sz w:val="24"/>
                <w:szCs w:val="24"/>
              </w:rPr>
            </w:pPr>
            <w:r w:rsidRPr="00A138FF">
              <w:rPr>
                <w:rFonts w:ascii="Cambria" w:eastAsia="Times New Roman" w:hAnsi="Cambria" w:cs="Times New Roman"/>
                <w:sz w:val="24"/>
                <w:szCs w:val="24"/>
              </w:rPr>
              <w:t>HT-2a Industries</w:t>
            </w:r>
          </w:p>
        </w:tc>
        <w:tc>
          <w:tcPr>
            <w:tcW w:w="2167" w:type="dxa"/>
            <w:tcBorders>
              <w:top w:val="nil"/>
              <w:left w:val="nil"/>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179</w:t>
            </w:r>
          </w:p>
        </w:tc>
        <w:tc>
          <w:tcPr>
            <w:tcW w:w="3294" w:type="dxa"/>
            <w:tcBorders>
              <w:top w:val="nil"/>
              <w:left w:val="nil"/>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179</w:t>
            </w:r>
          </w:p>
        </w:tc>
      </w:tr>
      <w:tr w:rsidR="00A138FF" w:rsidRPr="00A138FF" w:rsidTr="00A138FF">
        <w:trPr>
          <w:trHeight w:val="224"/>
        </w:trPr>
        <w:tc>
          <w:tcPr>
            <w:tcW w:w="4216" w:type="dxa"/>
            <w:tcBorders>
              <w:top w:val="nil"/>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left"/>
              <w:rPr>
                <w:rFonts w:ascii="Cambria" w:eastAsia="Times New Roman" w:hAnsi="Cambria" w:cs="Times New Roman"/>
                <w:sz w:val="24"/>
                <w:szCs w:val="24"/>
              </w:rPr>
            </w:pPr>
            <w:r w:rsidRPr="00A138FF">
              <w:rPr>
                <w:rFonts w:ascii="Cambria" w:eastAsia="Times New Roman" w:hAnsi="Cambria" w:cs="Times New Roman"/>
                <w:sz w:val="24"/>
                <w:szCs w:val="24"/>
              </w:rPr>
              <w:t>HT-2b  Commercial</w:t>
            </w:r>
          </w:p>
        </w:tc>
        <w:tc>
          <w:tcPr>
            <w:tcW w:w="2167" w:type="dxa"/>
            <w:tcBorders>
              <w:top w:val="nil"/>
              <w:left w:val="nil"/>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215</w:t>
            </w:r>
          </w:p>
        </w:tc>
        <w:tc>
          <w:tcPr>
            <w:tcW w:w="3294" w:type="dxa"/>
            <w:tcBorders>
              <w:top w:val="nil"/>
              <w:left w:val="nil"/>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215</w:t>
            </w:r>
          </w:p>
        </w:tc>
      </w:tr>
      <w:tr w:rsidR="00A138FF" w:rsidRPr="00A138FF" w:rsidTr="00A138FF">
        <w:trPr>
          <w:trHeight w:val="224"/>
        </w:trPr>
        <w:tc>
          <w:tcPr>
            <w:tcW w:w="4216" w:type="dxa"/>
            <w:tcBorders>
              <w:top w:val="nil"/>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left"/>
              <w:rPr>
                <w:rFonts w:ascii="Cambria" w:eastAsia="Times New Roman" w:hAnsi="Cambria" w:cs="Times New Roman"/>
                <w:sz w:val="24"/>
                <w:szCs w:val="24"/>
              </w:rPr>
            </w:pPr>
            <w:r w:rsidRPr="00A138FF">
              <w:rPr>
                <w:rFonts w:ascii="Cambria" w:eastAsia="Times New Roman" w:hAnsi="Cambria" w:cs="Times New Roman"/>
                <w:sz w:val="24"/>
                <w:szCs w:val="24"/>
              </w:rPr>
              <w:t>HT-2 (C)(</w:t>
            </w:r>
            <w:proofErr w:type="spellStart"/>
            <w:r w:rsidRPr="00A138FF">
              <w:rPr>
                <w:rFonts w:ascii="Cambria" w:eastAsia="Times New Roman" w:hAnsi="Cambria" w:cs="Times New Roman"/>
                <w:sz w:val="24"/>
                <w:szCs w:val="24"/>
              </w:rPr>
              <w:t>i</w:t>
            </w:r>
            <w:proofErr w:type="spellEnd"/>
            <w:r w:rsidRPr="00A138FF">
              <w:rPr>
                <w:rFonts w:ascii="Cambria" w:eastAsia="Times New Roman" w:hAnsi="Cambria" w:cs="Times New Roman"/>
                <w:sz w:val="24"/>
                <w:szCs w:val="24"/>
              </w:rPr>
              <w:t>)</w:t>
            </w:r>
          </w:p>
        </w:tc>
        <w:tc>
          <w:tcPr>
            <w:tcW w:w="2167" w:type="dxa"/>
            <w:tcBorders>
              <w:top w:val="nil"/>
              <w:left w:val="nil"/>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176</w:t>
            </w:r>
          </w:p>
        </w:tc>
        <w:tc>
          <w:tcPr>
            <w:tcW w:w="3294" w:type="dxa"/>
            <w:tcBorders>
              <w:top w:val="nil"/>
              <w:left w:val="nil"/>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176</w:t>
            </w:r>
          </w:p>
        </w:tc>
      </w:tr>
      <w:tr w:rsidR="00A138FF" w:rsidRPr="00A138FF" w:rsidTr="00A138FF">
        <w:trPr>
          <w:trHeight w:val="224"/>
        </w:trPr>
        <w:tc>
          <w:tcPr>
            <w:tcW w:w="4216" w:type="dxa"/>
            <w:tcBorders>
              <w:top w:val="nil"/>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left"/>
              <w:rPr>
                <w:rFonts w:ascii="Cambria" w:eastAsia="Times New Roman" w:hAnsi="Cambria" w:cs="Times New Roman"/>
                <w:sz w:val="24"/>
                <w:szCs w:val="24"/>
              </w:rPr>
            </w:pPr>
            <w:r w:rsidRPr="00A138FF">
              <w:rPr>
                <w:rFonts w:ascii="Cambria" w:eastAsia="Times New Roman" w:hAnsi="Cambria" w:cs="Times New Roman"/>
                <w:sz w:val="24"/>
                <w:szCs w:val="24"/>
              </w:rPr>
              <w:t>HT-2 (C)(ii)</w:t>
            </w:r>
          </w:p>
        </w:tc>
        <w:tc>
          <w:tcPr>
            <w:tcW w:w="2167" w:type="dxa"/>
            <w:tcBorders>
              <w:top w:val="nil"/>
              <w:left w:val="nil"/>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198</w:t>
            </w:r>
          </w:p>
        </w:tc>
        <w:tc>
          <w:tcPr>
            <w:tcW w:w="3294" w:type="dxa"/>
            <w:tcBorders>
              <w:top w:val="nil"/>
              <w:left w:val="nil"/>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198</w:t>
            </w:r>
          </w:p>
        </w:tc>
      </w:tr>
      <w:tr w:rsidR="00A138FF" w:rsidRPr="00A138FF" w:rsidTr="00A138FF">
        <w:trPr>
          <w:trHeight w:val="224"/>
        </w:trPr>
        <w:tc>
          <w:tcPr>
            <w:tcW w:w="4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left"/>
              <w:rPr>
                <w:rFonts w:ascii="Cambria" w:eastAsia="Times New Roman" w:hAnsi="Cambria" w:cs="Times New Roman"/>
                <w:sz w:val="24"/>
                <w:szCs w:val="24"/>
              </w:rPr>
            </w:pPr>
            <w:r w:rsidRPr="00A138FF">
              <w:rPr>
                <w:rFonts w:ascii="Cambria" w:eastAsia="Times New Roman" w:hAnsi="Cambria" w:cs="Times New Roman"/>
                <w:sz w:val="24"/>
                <w:szCs w:val="24"/>
              </w:rPr>
              <w:t>HT3 (a)(</w:t>
            </w:r>
            <w:proofErr w:type="spellStart"/>
            <w:r w:rsidRPr="00A138FF">
              <w:rPr>
                <w:rFonts w:ascii="Cambria" w:eastAsia="Times New Roman" w:hAnsi="Cambria" w:cs="Times New Roman"/>
                <w:sz w:val="24"/>
                <w:szCs w:val="24"/>
              </w:rPr>
              <w:t>i</w:t>
            </w:r>
            <w:proofErr w:type="spellEnd"/>
            <w:r w:rsidRPr="00A138FF">
              <w:rPr>
                <w:rFonts w:ascii="Cambria" w:eastAsia="Times New Roman" w:hAnsi="Cambria" w:cs="Times New Roman"/>
                <w:sz w:val="24"/>
                <w:szCs w:val="24"/>
              </w:rPr>
              <w:t>) Lift Irrigation</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0</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0</w:t>
            </w:r>
          </w:p>
        </w:tc>
      </w:tr>
      <w:tr w:rsidR="00A138FF" w:rsidRPr="00A138FF" w:rsidTr="00A138FF">
        <w:trPr>
          <w:trHeight w:val="224"/>
        </w:trPr>
        <w:tc>
          <w:tcPr>
            <w:tcW w:w="4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left"/>
              <w:rPr>
                <w:rFonts w:ascii="Cambria" w:eastAsia="Times New Roman" w:hAnsi="Cambria" w:cs="Times New Roman"/>
                <w:sz w:val="24"/>
                <w:szCs w:val="24"/>
              </w:rPr>
            </w:pPr>
            <w:r w:rsidRPr="00A138FF">
              <w:rPr>
                <w:rFonts w:ascii="Cambria" w:eastAsia="Times New Roman" w:hAnsi="Cambria" w:cs="Times New Roman"/>
                <w:sz w:val="24"/>
                <w:szCs w:val="24"/>
              </w:rPr>
              <w:t>HT3 (a)(ii) Lift Irrigation</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0</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0</w:t>
            </w:r>
          </w:p>
        </w:tc>
      </w:tr>
      <w:tr w:rsidR="00A138FF" w:rsidRPr="00A138FF" w:rsidTr="00A138FF">
        <w:trPr>
          <w:trHeight w:val="224"/>
        </w:trPr>
        <w:tc>
          <w:tcPr>
            <w:tcW w:w="4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left"/>
              <w:rPr>
                <w:rFonts w:ascii="Cambria" w:eastAsia="Times New Roman" w:hAnsi="Cambria" w:cs="Times New Roman"/>
                <w:sz w:val="24"/>
                <w:szCs w:val="24"/>
              </w:rPr>
            </w:pPr>
            <w:r w:rsidRPr="00A138FF">
              <w:rPr>
                <w:rFonts w:ascii="Cambria" w:eastAsia="Times New Roman" w:hAnsi="Cambria" w:cs="Times New Roman"/>
                <w:sz w:val="24"/>
                <w:szCs w:val="24"/>
              </w:rPr>
              <w:t>HT3 (a)(iii) Lift Irrigation</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0</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0</w:t>
            </w:r>
          </w:p>
        </w:tc>
      </w:tr>
      <w:tr w:rsidR="00A138FF" w:rsidRPr="00A138FF" w:rsidTr="00A138FF">
        <w:trPr>
          <w:trHeight w:val="224"/>
        </w:trPr>
        <w:tc>
          <w:tcPr>
            <w:tcW w:w="4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left"/>
              <w:rPr>
                <w:rFonts w:ascii="Cambria" w:eastAsia="Times New Roman" w:hAnsi="Cambria" w:cs="Times New Roman"/>
                <w:sz w:val="24"/>
                <w:szCs w:val="24"/>
              </w:rPr>
            </w:pPr>
            <w:r w:rsidRPr="00A138FF">
              <w:rPr>
                <w:rFonts w:ascii="Cambria" w:eastAsia="Times New Roman" w:hAnsi="Cambria" w:cs="Times New Roman"/>
                <w:sz w:val="24"/>
                <w:szCs w:val="24"/>
              </w:rPr>
              <w:t>HT3 (b) Irrigation &amp; Agricultural Farms</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0</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0</w:t>
            </w:r>
          </w:p>
        </w:tc>
      </w:tr>
      <w:tr w:rsidR="00A138FF" w:rsidRPr="00A138FF" w:rsidTr="00A138FF">
        <w:trPr>
          <w:trHeight w:val="224"/>
        </w:trPr>
        <w:tc>
          <w:tcPr>
            <w:tcW w:w="4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left"/>
              <w:rPr>
                <w:rFonts w:ascii="Cambria" w:eastAsia="Times New Roman" w:hAnsi="Cambria" w:cs="Times New Roman"/>
                <w:sz w:val="24"/>
                <w:szCs w:val="24"/>
              </w:rPr>
            </w:pPr>
            <w:r w:rsidRPr="00A138FF">
              <w:rPr>
                <w:rFonts w:ascii="Cambria" w:eastAsia="Times New Roman" w:hAnsi="Cambria" w:cs="Times New Roman"/>
                <w:sz w:val="24"/>
                <w:szCs w:val="24"/>
              </w:rPr>
              <w:t>HT-4 Residential Apartments</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161</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161</w:t>
            </w:r>
          </w:p>
        </w:tc>
      </w:tr>
      <w:tr w:rsidR="00A138FF" w:rsidRPr="00A138FF" w:rsidTr="00A138FF">
        <w:trPr>
          <w:trHeight w:val="224"/>
        </w:trPr>
        <w:tc>
          <w:tcPr>
            <w:tcW w:w="4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left"/>
              <w:rPr>
                <w:rFonts w:ascii="Cambria" w:eastAsia="Times New Roman" w:hAnsi="Cambria" w:cs="Times New Roman"/>
                <w:sz w:val="24"/>
                <w:szCs w:val="24"/>
              </w:rPr>
            </w:pPr>
            <w:r w:rsidRPr="00A138FF">
              <w:rPr>
                <w:rFonts w:ascii="Cambria" w:eastAsia="Times New Roman" w:hAnsi="Cambria" w:cs="Times New Roman"/>
                <w:sz w:val="24"/>
                <w:szCs w:val="24"/>
              </w:rPr>
              <w:t>HT5- Temporary</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301</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8FF" w:rsidRPr="00A138FF" w:rsidRDefault="00A138FF" w:rsidP="00A138FF">
            <w:pPr>
              <w:spacing w:after="0" w:line="240" w:lineRule="auto"/>
              <w:ind w:left="0" w:right="0" w:firstLine="0"/>
              <w:jc w:val="center"/>
              <w:rPr>
                <w:rFonts w:ascii="Cambria" w:eastAsia="Times New Roman" w:hAnsi="Cambria" w:cs="Times New Roman"/>
                <w:sz w:val="24"/>
                <w:szCs w:val="24"/>
              </w:rPr>
            </w:pPr>
            <w:r w:rsidRPr="00A138FF">
              <w:rPr>
                <w:rFonts w:ascii="Cambria" w:eastAsia="Times New Roman" w:hAnsi="Cambria" w:cs="Times New Roman"/>
                <w:sz w:val="24"/>
                <w:szCs w:val="24"/>
              </w:rPr>
              <w:t>301</w:t>
            </w:r>
          </w:p>
        </w:tc>
      </w:tr>
    </w:tbl>
    <w:p w:rsidR="00A138FF" w:rsidRPr="00A138FF" w:rsidRDefault="00A138FF" w:rsidP="00A138FF">
      <w:pPr>
        <w:ind w:left="16" w:right="0"/>
        <w:rPr>
          <w:rFonts w:ascii="Cambria" w:hAnsi="Cambria"/>
          <w:b/>
          <w:bCs/>
          <w:sz w:val="24"/>
          <w:szCs w:val="24"/>
        </w:rPr>
      </w:pPr>
    </w:p>
    <w:p w:rsidR="00A138FF" w:rsidRPr="00A138FF" w:rsidRDefault="00A138FF" w:rsidP="00A138FF">
      <w:pPr>
        <w:ind w:left="16" w:right="0"/>
        <w:rPr>
          <w:rFonts w:ascii="Cambria" w:hAnsi="Cambria"/>
          <w:b/>
          <w:bCs/>
          <w:sz w:val="24"/>
          <w:szCs w:val="24"/>
        </w:rPr>
      </w:pPr>
      <w:r w:rsidRPr="00A138FF">
        <w:rPr>
          <w:rFonts w:ascii="Cambria" w:hAnsi="Cambria"/>
          <w:b/>
          <w:bCs/>
          <w:sz w:val="24"/>
          <w:szCs w:val="24"/>
        </w:rPr>
        <w:t>Additional Surcharge for Open Access:</w:t>
      </w:r>
    </w:p>
    <w:p w:rsidR="00A138FF" w:rsidRPr="00A138FF" w:rsidRDefault="00A138FF" w:rsidP="00A138FF">
      <w:pPr>
        <w:pStyle w:val="ListParagraph"/>
        <w:numPr>
          <w:ilvl w:val="0"/>
          <w:numId w:val="5"/>
        </w:numPr>
        <w:spacing w:after="68" w:line="360" w:lineRule="auto"/>
        <w:ind w:right="-1"/>
        <w:rPr>
          <w:rFonts w:ascii="Cambria" w:hAnsi="Cambria"/>
          <w:sz w:val="24"/>
          <w:szCs w:val="24"/>
        </w:rPr>
      </w:pPr>
      <w:r w:rsidRPr="00A138FF">
        <w:rPr>
          <w:rFonts w:ascii="Cambria" w:hAnsi="Cambria"/>
          <w:sz w:val="24"/>
          <w:szCs w:val="24"/>
        </w:rPr>
        <w:t>The Additional Surcharge of Rs 0.80 per unit (eighty paisa per unit) shall be payable by HT/EHT Open access Consumers on a monthly basis based on the actual energy drawn during the month;</w:t>
      </w:r>
    </w:p>
    <w:p w:rsidR="00A138FF" w:rsidRPr="00A138FF" w:rsidRDefault="00A138FF" w:rsidP="00A138FF">
      <w:pPr>
        <w:pStyle w:val="ListParagraph"/>
        <w:numPr>
          <w:ilvl w:val="0"/>
          <w:numId w:val="5"/>
        </w:numPr>
        <w:spacing w:after="68" w:line="360" w:lineRule="auto"/>
        <w:ind w:right="-1"/>
        <w:rPr>
          <w:rFonts w:ascii="Cambria" w:hAnsi="Cambria"/>
          <w:sz w:val="24"/>
          <w:szCs w:val="24"/>
        </w:rPr>
      </w:pPr>
      <w:r w:rsidRPr="00A138FF">
        <w:rPr>
          <w:rFonts w:ascii="Cambria" w:hAnsi="Cambria"/>
          <w:sz w:val="24"/>
          <w:szCs w:val="24"/>
        </w:rPr>
        <w:t>The Open Access consumers, procuring power from the RE generators, shall pay an Additional Surcharge of 20 (twenty) paise per unit on a monthly basis;</w:t>
      </w:r>
    </w:p>
    <w:p w:rsidR="00A138FF" w:rsidRPr="00A138FF" w:rsidRDefault="00A138FF" w:rsidP="00A138FF">
      <w:pPr>
        <w:pStyle w:val="ListParagraph"/>
        <w:numPr>
          <w:ilvl w:val="0"/>
          <w:numId w:val="5"/>
        </w:numPr>
        <w:spacing w:after="68" w:line="360" w:lineRule="auto"/>
        <w:ind w:right="-1"/>
        <w:rPr>
          <w:rFonts w:ascii="Cambria" w:hAnsi="Cambria"/>
          <w:sz w:val="24"/>
          <w:szCs w:val="24"/>
        </w:rPr>
      </w:pPr>
      <w:r w:rsidRPr="00A138FF">
        <w:rPr>
          <w:rFonts w:ascii="Cambria" w:hAnsi="Cambria"/>
          <w:sz w:val="24"/>
          <w:szCs w:val="24"/>
        </w:rPr>
        <w:t>The levy of Additional Surcharge shall not be applicable to a Captive Consumer, to the extent of his captive consumption; and,</w:t>
      </w:r>
    </w:p>
    <w:p w:rsidR="00A138FF" w:rsidRDefault="00A138FF" w:rsidP="00A138FF">
      <w:pPr>
        <w:pStyle w:val="ListParagraph"/>
        <w:numPr>
          <w:ilvl w:val="0"/>
          <w:numId w:val="5"/>
        </w:numPr>
        <w:spacing w:after="68" w:line="360" w:lineRule="auto"/>
        <w:ind w:right="-1"/>
        <w:rPr>
          <w:rFonts w:ascii="Cambria" w:hAnsi="Cambria"/>
          <w:sz w:val="24"/>
          <w:szCs w:val="24"/>
        </w:rPr>
      </w:pPr>
      <w:r w:rsidRPr="00A138FF">
        <w:rPr>
          <w:rFonts w:ascii="Cambria" w:hAnsi="Cambria"/>
          <w:sz w:val="24"/>
          <w:szCs w:val="24"/>
        </w:rPr>
        <w:t>The levy of Additional Surcharge stated at (a) and (b) above shall be recovered from OA consumers for FY-21.</w:t>
      </w:r>
    </w:p>
    <w:p w:rsidR="00A138FF" w:rsidRPr="00830A5D" w:rsidRDefault="00A138FF" w:rsidP="00A138FF">
      <w:pPr>
        <w:spacing w:after="111"/>
        <w:ind w:right="-1"/>
        <w:rPr>
          <w:rFonts w:ascii="Cambria" w:hAnsi="Cambria"/>
          <w:sz w:val="12"/>
          <w:szCs w:val="24"/>
        </w:rPr>
      </w:pPr>
    </w:p>
    <w:tbl>
      <w:tblPr>
        <w:tblStyle w:val="TableGrid0"/>
        <w:tblW w:w="0" w:type="auto"/>
        <w:tblInd w:w="24" w:type="dxa"/>
        <w:tblLook w:val="04A0" w:firstRow="1" w:lastRow="0" w:firstColumn="1" w:lastColumn="0" w:noHBand="0" w:noVBand="1"/>
      </w:tblPr>
      <w:tblGrid>
        <w:gridCol w:w="9350"/>
      </w:tblGrid>
      <w:tr w:rsidR="00A138FF" w:rsidTr="00A138FF">
        <w:tc>
          <w:tcPr>
            <w:tcW w:w="9350" w:type="dxa"/>
          </w:tcPr>
          <w:p w:rsidR="00A138FF" w:rsidRPr="00830A5D" w:rsidRDefault="00A138FF" w:rsidP="00A138FF">
            <w:pPr>
              <w:spacing w:after="111"/>
              <w:ind w:left="0" w:right="-1" w:firstLine="0"/>
              <w:jc w:val="center"/>
              <w:rPr>
                <w:rFonts w:ascii="Cambria" w:hAnsi="Cambria"/>
                <w:b/>
                <w:sz w:val="24"/>
                <w:szCs w:val="24"/>
                <w:u w:val="single"/>
              </w:rPr>
            </w:pPr>
            <w:r w:rsidRPr="00830A5D">
              <w:rPr>
                <w:rFonts w:ascii="Cambria" w:hAnsi="Cambria"/>
                <w:b/>
                <w:sz w:val="24"/>
                <w:szCs w:val="24"/>
                <w:u w:val="single"/>
              </w:rPr>
              <w:t>Electricity Tax</w:t>
            </w:r>
          </w:p>
          <w:p w:rsidR="00A138FF" w:rsidRPr="00A138FF" w:rsidRDefault="00A138FF" w:rsidP="00A138FF">
            <w:pPr>
              <w:pStyle w:val="ListParagraph"/>
              <w:numPr>
                <w:ilvl w:val="0"/>
                <w:numId w:val="4"/>
              </w:numPr>
              <w:spacing w:after="111"/>
              <w:ind w:left="312" w:right="-1" w:hanging="312"/>
              <w:rPr>
                <w:rFonts w:ascii="Cambria" w:hAnsi="Cambria"/>
                <w:b/>
                <w:sz w:val="24"/>
                <w:szCs w:val="24"/>
              </w:rPr>
            </w:pPr>
            <w:r>
              <w:rPr>
                <w:rFonts w:ascii="Cambria" w:hAnsi="Cambria"/>
                <w:sz w:val="24"/>
                <w:szCs w:val="24"/>
              </w:rPr>
              <w:t xml:space="preserve">As </w:t>
            </w:r>
            <w:r w:rsidRPr="00A138FF">
              <w:rPr>
                <w:rFonts w:ascii="Cambria" w:hAnsi="Cambria"/>
                <w:sz w:val="24"/>
                <w:szCs w:val="24"/>
              </w:rPr>
              <w:t xml:space="preserve">per the Notification No.24 dated 19.07.2018 of the Government of Karnataka, the Electricity Tax is levied at 9% on </w:t>
            </w:r>
            <w:proofErr w:type="spellStart"/>
            <w:r w:rsidRPr="00A138FF">
              <w:rPr>
                <w:rFonts w:ascii="Cambria" w:hAnsi="Cambria"/>
                <w:sz w:val="24"/>
                <w:szCs w:val="24"/>
              </w:rPr>
              <w:t>adv</w:t>
            </w:r>
            <w:r w:rsidR="00E81310">
              <w:rPr>
                <w:rFonts w:ascii="Cambria" w:hAnsi="Cambria"/>
                <w:sz w:val="24"/>
                <w:szCs w:val="24"/>
              </w:rPr>
              <w:t>a</w:t>
            </w:r>
            <w:r w:rsidRPr="00A138FF">
              <w:rPr>
                <w:rFonts w:ascii="Cambria" w:hAnsi="Cambria"/>
                <w:sz w:val="24"/>
                <w:szCs w:val="24"/>
              </w:rPr>
              <w:t>lorem</w:t>
            </w:r>
            <w:proofErr w:type="spellEnd"/>
            <w:r w:rsidRPr="00A138FF">
              <w:rPr>
                <w:rFonts w:ascii="Cambria" w:hAnsi="Cambria"/>
                <w:sz w:val="24"/>
                <w:szCs w:val="24"/>
              </w:rPr>
              <w:t xml:space="preserve"> basis on the charges payable on electricity sold to or consumed by any consumer excluding arrears except IP 10 HP and BJ/KJ installations</w:t>
            </w:r>
            <w:r>
              <w:rPr>
                <w:rFonts w:ascii="Cambria" w:hAnsi="Cambria"/>
                <w:sz w:val="24"/>
                <w:szCs w:val="24"/>
              </w:rPr>
              <w:t>.</w:t>
            </w:r>
          </w:p>
          <w:p w:rsidR="00A138FF" w:rsidRPr="00A138FF" w:rsidRDefault="00A138FF" w:rsidP="00A138FF">
            <w:pPr>
              <w:pStyle w:val="ListParagraph"/>
              <w:numPr>
                <w:ilvl w:val="0"/>
                <w:numId w:val="4"/>
              </w:numPr>
              <w:spacing w:after="111"/>
              <w:ind w:left="312" w:right="-1" w:hanging="312"/>
              <w:rPr>
                <w:rFonts w:ascii="Cambria" w:hAnsi="Cambria"/>
                <w:b/>
                <w:sz w:val="24"/>
                <w:szCs w:val="24"/>
              </w:rPr>
            </w:pPr>
            <w:r>
              <w:rPr>
                <w:rFonts w:ascii="Cambria" w:hAnsi="Cambria"/>
                <w:sz w:val="24"/>
                <w:szCs w:val="24"/>
              </w:rPr>
              <w:t xml:space="preserve">As </w:t>
            </w:r>
            <w:r w:rsidRPr="00A138FF">
              <w:rPr>
                <w:rFonts w:ascii="Cambria" w:hAnsi="Cambria"/>
                <w:sz w:val="24"/>
                <w:szCs w:val="24"/>
              </w:rPr>
              <w:t>per the Notification No.EN.106 EBS 2018 dated.19.07.2018 of the Government of Karnataka, specifies 20 paisa per unit electricity tax shall be levied and collected on captive consumption of electricity generated by the captive power generating plant having total installed capacity of above 500kVA</w:t>
            </w:r>
            <w:r>
              <w:rPr>
                <w:rFonts w:ascii="Cambria" w:hAnsi="Cambria"/>
                <w:sz w:val="24"/>
                <w:szCs w:val="24"/>
              </w:rPr>
              <w:t>.</w:t>
            </w:r>
          </w:p>
          <w:p w:rsidR="00A138FF" w:rsidRPr="00A138FF" w:rsidRDefault="00A138FF" w:rsidP="00A138FF">
            <w:pPr>
              <w:pStyle w:val="ListParagraph"/>
              <w:spacing w:after="111"/>
              <w:ind w:left="312" w:right="-1" w:firstLine="0"/>
              <w:rPr>
                <w:rFonts w:ascii="Cambria" w:hAnsi="Cambria"/>
                <w:b/>
                <w:sz w:val="24"/>
                <w:szCs w:val="24"/>
              </w:rPr>
            </w:pPr>
            <w:r>
              <w:rPr>
                <w:rFonts w:ascii="Cambria" w:hAnsi="Cambria"/>
                <w:sz w:val="24"/>
                <w:szCs w:val="24"/>
              </w:rPr>
              <w:t xml:space="preserve">                </w:t>
            </w:r>
            <w:r w:rsidRPr="00A138FF">
              <w:rPr>
                <w:rFonts w:ascii="Cambria" w:hAnsi="Cambria"/>
                <w:sz w:val="24"/>
                <w:szCs w:val="24"/>
              </w:rPr>
              <w:t>This is effective from 19.07.2018</w:t>
            </w:r>
            <w:r>
              <w:rPr>
                <w:rFonts w:ascii="Cambria" w:hAnsi="Cambria"/>
                <w:sz w:val="24"/>
                <w:szCs w:val="24"/>
              </w:rPr>
              <w:t>.</w:t>
            </w:r>
          </w:p>
        </w:tc>
      </w:tr>
    </w:tbl>
    <w:p w:rsidR="00A138FF" w:rsidRDefault="00A138FF" w:rsidP="00A138FF">
      <w:pPr>
        <w:spacing w:after="111"/>
        <w:ind w:right="-1"/>
        <w:rPr>
          <w:rFonts w:ascii="Cambria" w:hAnsi="Cambria"/>
          <w:sz w:val="24"/>
          <w:szCs w:val="24"/>
        </w:rPr>
      </w:pPr>
    </w:p>
    <w:sectPr w:rsidR="00A138FF" w:rsidSect="00830A5D">
      <w:pgSz w:w="12240" w:h="15840"/>
      <w:pgMar w:top="63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60AD3"/>
    <w:multiLevelType w:val="hybridMultilevel"/>
    <w:tmpl w:val="8C3079BA"/>
    <w:lvl w:ilvl="0" w:tplc="34004D9A">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30862EBF"/>
    <w:multiLevelType w:val="hybridMultilevel"/>
    <w:tmpl w:val="089EFAE4"/>
    <w:lvl w:ilvl="0" w:tplc="8BCEE864">
      <w:start w:val="1"/>
      <w:numFmt w:val="decimal"/>
      <w:lvlText w:val="%1."/>
      <w:lvlJc w:val="left"/>
      <w:pPr>
        <w:ind w:left="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D6E64A6">
      <w:start w:val="1"/>
      <w:numFmt w:val="lowerLetter"/>
      <w:lvlText w:val="%2"/>
      <w:lvlJc w:val="left"/>
      <w:pPr>
        <w:ind w:left="11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AFE496C">
      <w:start w:val="1"/>
      <w:numFmt w:val="lowerRoman"/>
      <w:lvlText w:val="%3"/>
      <w:lvlJc w:val="left"/>
      <w:pPr>
        <w:ind w:left="19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B2E346A">
      <w:start w:val="1"/>
      <w:numFmt w:val="decimal"/>
      <w:lvlText w:val="%4"/>
      <w:lvlJc w:val="left"/>
      <w:pPr>
        <w:ind w:left="26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0C8DC22">
      <w:start w:val="1"/>
      <w:numFmt w:val="lowerLetter"/>
      <w:lvlText w:val="%5"/>
      <w:lvlJc w:val="left"/>
      <w:pPr>
        <w:ind w:left="33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03CA3F0">
      <w:start w:val="1"/>
      <w:numFmt w:val="lowerRoman"/>
      <w:lvlText w:val="%6"/>
      <w:lvlJc w:val="left"/>
      <w:pPr>
        <w:ind w:left="40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7981C46">
      <w:start w:val="1"/>
      <w:numFmt w:val="decimal"/>
      <w:lvlText w:val="%7"/>
      <w:lvlJc w:val="left"/>
      <w:pPr>
        <w:ind w:left="47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6DC11F2">
      <w:start w:val="1"/>
      <w:numFmt w:val="lowerLetter"/>
      <w:lvlText w:val="%8"/>
      <w:lvlJc w:val="left"/>
      <w:pPr>
        <w:ind w:left="55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CA044C2">
      <w:start w:val="1"/>
      <w:numFmt w:val="lowerRoman"/>
      <w:lvlText w:val="%9"/>
      <w:lvlJc w:val="left"/>
      <w:pPr>
        <w:ind w:left="62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30D4142"/>
    <w:multiLevelType w:val="hybridMultilevel"/>
    <w:tmpl w:val="73A4CBE6"/>
    <w:lvl w:ilvl="0" w:tplc="D8A4B5D6">
      <w:start w:val="1"/>
      <w:numFmt w:val="lowerLetter"/>
      <w:lvlText w:val="(%1)"/>
      <w:lvlJc w:val="left"/>
      <w:pPr>
        <w:ind w:left="216"/>
      </w:pPr>
      <w:rPr>
        <w:rFonts w:ascii="Calibri" w:eastAsia="Calibri" w:hAnsi="Calibri" w:cs="Calibri"/>
        <w:b w:val="0"/>
        <w:i w:val="0"/>
        <w:strike w:val="0"/>
        <w:dstrike w:val="0"/>
        <w:color w:val="000000"/>
        <w:sz w:val="20"/>
        <w:szCs w:val="16"/>
        <w:u w:val="none" w:color="000000"/>
        <w:bdr w:val="none" w:sz="0" w:space="0" w:color="auto"/>
        <w:shd w:val="clear" w:color="auto" w:fill="auto"/>
        <w:vertAlign w:val="baseline"/>
      </w:rPr>
    </w:lvl>
    <w:lvl w:ilvl="1" w:tplc="275A2206">
      <w:start w:val="1"/>
      <w:numFmt w:val="lowerLetter"/>
      <w:lvlText w:val="%2"/>
      <w:lvlJc w:val="left"/>
      <w:pPr>
        <w:ind w:left="10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772744E">
      <w:start w:val="1"/>
      <w:numFmt w:val="lowerRoman"/>
      <w:lvlText w:val="%3"/>
      <w:lvlJc w:val="left"/>
      <w:pPr>
        <w:ind w:left="18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4D2673E">
      <w:start w:val="1"/>
      <w:numFmt w:val="decimal"/>
      <w:lvlText w:val="%4"/>
      <w:lvlJc w:val="left"/>
      <w:pPr>
        <w:ind w:left="25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CA4EF40">
      <w:start w:val="1"/>
      <w:numFmt w:val="lowerLetter"/>
      <w:lvlText w:val="%5"/>
      <w:lvlJc w:val="left"/>
      <w:pPr>
        <w:ind w:left="32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596C012">
      <w:start w:val="1"/>
      <w:numFmt w:val="lowerRoman"/>
      <w:lvlText w:val="%6"/>
      <w:lvlJc w:val="left"/>
      <w:pPr>
        <w:ind w:left="39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C948398">
      <w:start w:val="1"/>
      <w:numFmt w:val="decimal"/>
      <w:lvlText w:val="%7"/>
      <w:lvlJc w:val="left"/>
      <w:pPr>
        <w:ind w:left="46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3EA4C3E">
      <w:start w:val="1"/>
      <w:numFmt w:val="lowerLetter"/>
      <w:lvlText w:val="%8"/>
      <w:lvlJc w:val="left"/>
      <w:pPr>
        <w:ind w:left="54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ACE5078">
      <w:start w:val="1"/>
      <w:numFmt w:val="lowerRoman"/>
      <w:lvlText w:val="%9"/>
      <w:lvlJc w:val="left"/>
      <w:pPr>
        <w:ind w:left="61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5ED0098D"/>
    <w:multiLevelType w:val="hybridMultilevel"/>
    <w:tmpl w:val="C8B69716"/>
    <w:lvl w:ilvl="0" w:tplc="C2281A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F22CC"/>
    <w:multiLevelType w:val="hybridMultilevel"/>
    <w:tmpl w:val="0C5A4542"/>
    <w:lvl w:ilvl="0" w:tplc="22C40BDA">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8FF"/>
    <w:rsid w:val="003277FB"/>
    <w:rsid w:val="00830A5D"/>
    <w:rsid w:val="00A138FF"/>
    <w:rsid w:val="00C7189A"/>
    <w:rsid w:val="00E81310"/>
    <w:rsid w:val="00ED5F86"/>
    <w:rsid w:val="00EF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7C5D"/>
  <w15:chartTrackingRefBased/>
  <w15:docId w15:val="{9160A456-CB1B-4F3C-AF42-0D2B26B2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8FF"/>
    <w:pPr>
      <w:spacing w:after="16" w:line="303" w:lineRule="auto"/>
      <w:ind w:left="24" w:right="14" w:hanging="3"/>
      <w:jc w:val="both"/>
    </w:pPr>
    <w:rPr>
      <w:rFonts w:ascii="Calibri" w:eastAsia="Calibri" w:hAnsi="Calibri" w:cs="Calibri"/>
      <w:color w:val="000000"/>
      <w:sz w:val="16"/>
    </w:rPr>
  </w:style>
  <w:style w:type="paragraph" w:styleId="Heading1">
    <w:name w:val="heading 1"/>
    <w:next w:val="Normal"/>
    <w:link w:val="Heading1Char"/>
    <w:uiPriority w:val="9"/>
    <w:qFormat/>
    <w:rsid w:val="00A138FF"/>
    <w:pPr>
      <w:keepNext/>
      <w:keepLines/>
      <w:spacing w:after="70"/>
      <w:ind w:left="28"/>
      <w:jc w:val="center"/>
      <w:outlineLvl w:val="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8FF"/>
    <w:rPr>
      <w:rFonts w:ascii="Calibri" w:eastAsia="Calibri" w:hAnsi="Calibri" w:cs="Calibri"/>
      <w:color w:val="000000"/>
      <w:sz w:val="18"/>
    </w:rPr>
  </w:style>
  <w:style w:type="table" w:customStyle="1" w:styleId="TableGrid">
    <w:name w:val="TableGrid"/>
    <w:rsid w:val="00A138F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138FF"/>
    <w:pPr>
      <w:ind w:left="720"/>
      <w:contextualSpacing/>
    </w:pPr>
  </w:style>
  <w:style w:type="table" w:styleId="TableGrid0">
    <w:name w:val="Table Grid"/>
    <w:basedOn w:val="TableNormal"/>
    <w:uiPriority w:val="39"/>
    <w:rsid w:val="00A1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Corp02</dc:creator>
  <cp:keywords/>
  <dc:description/>
  <cp:lastModifiedBy>acer</cp:lastModifiedBy>
  <cp:revision>4</cp:revision>
  <dcterms:created xsi:type="dcterms:W3CDTF">2021-03-01T07:04:00Z</dcterms:created>
  <dcterms:modified xsi:type="dcterms:W3CDTF">2021-03-01T07:52:00Z</dcterms:modified>
</cp:coreProperties>
</file>